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3.xml.rels" ContentType="application/vnd.openxmlformats-package.relationships+xml"/>
  <Override PartName="/word/_rels/footer6.xml.rels" ContentType="application/vnd.openxmlformats-package.relationships+xml"/>
  <Override PartName="/word/_rels/header9.xml.rels" ContentType="application/vnd.openxmlformats-package.relationships+xml"/>
  <Override PartName="/word/_rels/footer4.xml.rels" ContentType="application/vnd.openxmlformats-package.relationships+xml"/>
  <Override PartName="/word/_rels/document.xml.rels" ContentType="application/vnd.openxmlformats-package.relationships+xml"/>
  <Override PartName="/word/_rels/header2.xml.rels" ContentType="application/vnd.openxmlformats-package.relationships+xml"/>
  <Override PartName="/word/_rels/header5.xml.rels" ContentType="application/vnd.openxmlformats-package.relationships+xml"/>
  <Override PartName="/word/_rels/footer12.xml.rels" ContentType="application/vnd.openxmlformats-package.relationships+xml"/>
  <Override PartName="/word/_rels/footer3.xml.rels" ContentType="application/vnd.openxmlformats-package.relationships+xml"/>
  <Override PartName="/word/_rels/footer11.xml.rels" ContentType="application/vnd.openxmlformats-package.relationships+xml"/>
  <Override PartName="/word/_rels/header12.xml.rels" ContentType="application/vnd.openxmlformats-package.relationships+xml"/>
  <Override PartName="/word/_rels/footer2.xml.rels" ContentType="application/vnd.openxmlformats-package.relationships+xml"/>
  <Override PartName="/word/_rels/footer10.xml.rels" ContentType="application/vnd.openxmlformats-package.relationships+xml"/>
  <Override PartName="/word/_rels/header11.xml.rels" ContentType="application/vnd.openxmlformats-package.relationships+xml"/>
  <Override PartName="/word/_rels/footer1.xml.rels" ContentType="application/vnd.openxmlformats-package.relationships+xml"/>
  <Override PartName="/word/_rels/footer9.xml.rels" ContentType="application/vnd.openxmlformats-package.relationships+xml"/>
  <Override PartName="/word/_rels/footer8.xml.rels" ContentType="application/vnd.openxmlformats-package.relationships+xml"/>
  <Override PartName="/word/_rels/header6.xml.rels" ContentType="application/vnd.openxmlformats-package.relationships+xml"/>
  <Override PartName="/word/_rels/footer7.xml.rels" ContentType="application/vnd.openxmlformats-package.relationships+xml"/>
  <Override PartName="/word/_rels/header8.xml.rels" ContentType="application/vnd.openxmlformats-package.relationships+xml"/>
  <Override PartName="/word/_rels/footer5.xml.rels" ContentType="application/vnd.openxmlformats-package.relationships+xml"/>
  <Override PartName="/word/footer1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er2.xml" ContentType="application/vnd.openxmlformats-officedocument.wordprocessingml.footer+xml"/>
  <Override PartName="/word/header5.xml" ContentType="application/vnd.openxmlformats-officedocument.wordprocessingml.header+xml"/>
  <Override PartName="/word/header1.xml" ContentType="application/vnd.openxmlformats-officedocument.wordprocessingml.header+xml"/>
  <Override PartName="/word/header10.xml" ContentType="application/vnd.openxmlformats-officedocument.wordprocessingml.header+xml"/>
  <Override PartName="/word/settings.xml" ContentType="application/vnd.openxmlformats-officedocument.wordprocessingml.settings+xml"/>
  <Override PartName="/word/header7.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header2.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media/image1.png" ContentType="image/png"/>
  <Override PartName="/word/footer8.xml" ContentType="application/vnd.openxmlformats-officedocument.wordprocessingml.footer+xml"/>
  <Override PartName="/word/theme/theme1.xml" ContentType="application/vnd.openxmlformats-officedocument.theme+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left"/>
        <w:tblInd w:w="80" w:type="dxa"/>
        <w:tblLayout w:type="fixed"/>
        <w:tblCellMar>
          <w:top w:w="60" w:type="dxa"/>
          <w:left w:w="80" w:type="dxa"/>
          <w:bottom w:w="60" w:type="dxa"/>
          <w:right w:w="80" w:type="dxa"/>
        </w:tblCellMar>
      </w:tblPr>
      <w:tblGrid>
        <w:gridCol w:w="10716"/>
      </w:tblGrid>
      <w:tr>
        <w:trPr>
          <w:trHeight w:val="3031" w:hRule="exact"/>
        </w:trPr>
        <w:tc>
          <w:tcPr>
            <w:tcW w:w="10716" w:type="dxa"/>
            <w:tcBorders/>
          </w:tcPr>
          <w:p>
            <w:pPr>
              <w:pStyle w:val="ConsPlusTitlePage"/>
              <w:rPr/>
            </w:pPr>
            <w:r>
              <w:rPr/>
              <w:drawing>
                <wp:inline distT="0" distB="0" distL="0" distR="0">
                  <wp:extent cx="3810000" cy="904875"/>
                  <wp:effectExtent l="0" t="0" r="0" b="0"/>
                  <wp:docPr id="1" name="Консультант Плюс"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нсультант Плюс" descr=""/>
                          <pic:cNvPicPr>
                            <a:picLocks noChangeAspect="1" noChangeArrowheads="1"/>
                          </pic:cNvPicPr>
                        </pic:nvPicPr>
                        <pic:blipFill>
                          <a:blip r:embed="rId2"/>
                          <a:stretch>
                            <a:fillRect/>
                          </a:stretch>
                        </pic:blipFill>
                        <pic:spPr bwMode="auto">
                          <a:xfrm>
                            <a:off x="0" y="0"/>
                            <a:ext cx="3810000" cy="904875"/>
                          </a:xfrm>
                          <a:prstGeom prst="rect">
                            <a:avLst/>
                          </a:prstGeom>
                        </pic:spPr>
                      </pic:pic>
                    </a:graphicData>
                  </a:graphic>
                </wp:inline>
              </w:drawing>
            </w:r>
          </w:p>
        </w:tc>
      </w:tr>
      <w:tr>
        <w:trPr>
          <w:trHeight w:val="8335" w:hRule="exact"/>
        </w:trPr>
        <w:tc>
          <w:tcPr>
            <w:tcW w:w="10716" w:type="dxa"/>
            <w:tcBorders/>
            <w:vAlign w:val="center"/>
          </w:tcPr>
          <w:p>
            <w:pPr>
              <w:pStyle w:val="ConsPlusTitlePage"/>
              <w:jc w:val="center"/>
              <w:rPr/>
            </w:pPr>
            <w:r>
              <w:rPr>
                <w:sz w:val="48"/>
              </w:rPr>
              <w:t>Приказ Росгвардии от 23.04.2021 N 142</w:t>
              <w:br/>
              <w:t>"О прохождении медицинских осмотров и диспансеризации военнослужащими войск национальной гвардии Российской Федерации"</w:t>
              <w:br/>
              <w:t>(Зарегистрировано в Минюсте России 02.06.2021 N 63775)</w:t>
            </w:r>
          </w:p>
        </w:tc>
      </w:tr>
      <w:tr>
        <w:trPr>
          <w:trHeight w:val="3031" w:hRule="exact"/>
        </w:trPr>
        <w:tc>
          <w:tcPr>
            <w:tcW w:w="10716" w:type="dxa"/>
            <w:tcBorders/>
            <w:vAlign w:val="center"/>
          </w:tcPr>
          <w:p>
            <w:pPr>
              <w:pStyle w:val="ConsPlusTitlePage"/>
              <w:jc w:val="center"/>
              <w:rPr/>
            </w:pPr>
            <w:r>
              <w:rPr>
                <w:sz w:val="28"/>
              </w:rPr>
              <w:t xml:space="preserve">Документ предоставлен </w:t>
            </w:r>
            <w:hyperlink r:id="rId3" w:tgtFrame="Ссылка на КонсультантПлюс">
              <w:r>
                <w:rPr>
                  <w:rStyle w:val="ListLabel1"/>
                  <w:b/>
                  <w:color w:val="0000FF"/>
                  <w:sz w:val="28"/>
                </w:rPr>
                <w:t>КонсультантПлюс</w:t>
                <w:br/>
                <w:br/>
              </w:r>
            </w:hyperlink>
            <w:hyperlink r:id="rId4" w:tgtFrame="Ссылка на КонсультантПлюс">
              <w:r>
                <w:rPr>
                  <w:rStyle w:val="ListLabel1"/>
                  <w:b/>
                  <w:color w:val="0000FF"/>
                  <w:sz w:val="28"/>
                </w:rPr>
                <w:t>www.consultant.ru</w:t>
              </w:r>
            </w:hyperlink>
            <w:r>
              <w:rPr>
                <w:sz w:val="28"/>
              </w:rPr>
              <w:br/>
              <w:br/>
              <w:t>Дата сохранения: 20.07.2026</w:t>
              <w:br/>
              <w:t> </w:t>
            </w:r>
          </w:p>
        </w:tc>
      </w:tr>
    </w:tbl>
    <w:p>
      <w:pPr>
        <w:sectPr>
          <w:type w:val="nextPage"/>
          <w:pgSz w:w="11906" w:h="16838"/>
          <w:pgMar w:left="595" w:right="595" w:gutter="0" w:header="0" w:top="841" w:footer="0" w:bottom="841"/>
          <w:pgNumType w:fmt="decimal"/>
          <w:formProt w:val="false"/>
          <w:textDirection w:val="lrTb"/>
          <w:docGrid w:type="default" w:linePitch="100" w:charSpace="8192"/>
        </w:sectPr>
      </w:pPr>
    </w:p>
    <w:p>
      <w:pPr>
        <w:pStyle w:val="ConsPlusNormal"/>
        <w:numPr>
          <w:ilvl w:val="0"/>
          <w:numId w:val="0"/>
        </w:numPr>
        <w:jc w:val="both"/>
        <w:outlineLvl w:val="0"/>
        <w:rPr/>
      </w:pPr>
      <w:r>
        <w:rPr/>
      </w:r>
    </w:p>
    <w:p>
      <w:pPr>
        <w:pStyle w:val="ConsPlusNormal"/>
        <w:numPr>
          <w:ilvl w:val="0"/>
          <w:numId w:val="0"/>
        </w:numPr>
        <w:outlineLvl w:val="0"/>
        <w:rPr/>
      </w:pPr>
      <w:r>
        <w:rPr>
          <w:sz w:val="24"/>
        </w:rPr>
        <w:t>Зарегистрировано в Минюсте России 2 июня 2021 г. N 63775</w:t>
      </w:r>
    </w:p>
    <w:p>
      <w:pPr>
        <w:pStyle w:val="ConsPlusNormal"/>
        <w:pBdr>
          <w:bottom w:val="single" w:sz="6" w:space="0" w:color="000000"/>
        </w:pBdr>
        <w:spacing w:before="100" w:after="100"/>
        <w:jc w:val="both"/>
        <w:rPr>
          <w:sz w:val="2"/>
          <w:szCs w:val="2"/>
        </w:rPr>
      </w:pPr>
      <w:r>
        <w:rPr>
          <w:sz w:val="2"/>
          <w:szCs w:val="2"/>
        </w:rPr>
      </w:r>
    </w:p>
    <w:p>
      <w:pPr>
        <w:pStyle w:val="ConsPlusNormal"/>
        <w:jc w:val="both"/>
        <w:rPr/>
      </w:pPr>
      <w:r>
        <w:rPr/>
      </w:r>
    </w:p>
    <w:p>
      <w:pPr>
        <w:pStyle w:val="ConsPlusTitle"/>
        <w:jc w:val="center"/>
        <w:rPr/>
      </w:pPr>
      <w:r>
        <w:rPr>
          <w:sz w:val="24"/>
        </w:rPr>
        <w:t>ФЕДЕРАЛЬНАЯ СЛУЖБА ВОЙСК НАЦИОНАЛЬНОЙ ГВАРДИИ</w:t>
      </w:r>
    </w:p>
    <w:p>
      <w:pPr>
        <w:pStyle w:val="ConsPlusTitle"/>
        <w:jc w:val="center"/>
        <w:rPr/>
      </w:pPr>
      <w:r>
        <w:rPr>
          <w:sz w:val="24"/>
        </w:rPr>
        <w:t>РОССИЙСКОЙ ФЕДЕРАЦИИ</w:t>
      </w:r>
    </w:p>
    <w:p>
      <w:pPr>
        <w:pStyle w:val="ConsPlusTitle"/>
        <w:jc w:val="center"/>
        <w:rPr/>
      </w:pPr>
      <w:r>
        <w:rPr/>
      </w:r>
    </w:p>
    <w:p>
      <w:pPr>
        <w:pStyle w:val="ConsPlusTitle"/>
        <w:jc w:val="center"/>
        <w:rPr/>
      </w:pPr>
      <w:r>
        <w:rPr>
          <w:sz w:val="24"/>
        </w:rPr>
        <w:t>ПРИКАЗ</w:t>
      </w:r>
    </w:p>
    <w:p>
      <w:pPr>
        <w:pStyle w:val="ConsPlusTitle"/>
        <w:jc w:val="center"/>
        <w:rPr/>
      </w:pPr>
      <w:r>
        <w:rPr>
          <w:sz w:val="24"/>
        </w:rPr>
        <w:t>от 23 апреля 2021 г. N 142</w:t>
      </w:r>
    </w:p>
    <w:p>
      <w:pPr>
        <w:pStyle w:val="ConsPlusTitle"/>
        <w:jc w:val="center"/>
        <w:rPr/>
      </w:pPr>
      <w:r>
        <w:rPr/>
      </w:r>
    </w:p>
    <w:p>
      <w:pPr>
        <w:pStyle w:val="ConsPlusTitle"/>
        <w:jc w:val="center"/>
        <w:rPr/>
      </w:pPr>
      <w:r>
        <w:rPr>
          <w:sz w:val="24"/>
        </w:rPr>
        <w:t>О ПРОХОЖДЕНИИ МЕДИЦИНСКИХ ОСМОТРОВ И ДИСПАНСЕРИЗАЦИИ</w:t>
      </w:r>
    </w:p>
    <w:p>
      <w:pPr>
        <w:pStyle w:val="ConsPlusTitle"/>
        <w:jc w:val="center"/>
        <w:rPr/>
      </w:pPr>
      <w:r>
        <w:rPr>
          <w:sz w:val="24"/>
        </w:rPr>
        <w:t>ВОЕННОСЛУЖАЩИМИ ВОЙСК НАЦИОНАЛЬНОЙ ГВАРДИИ</w:t>
      </w:r>
    </w:p>
    <w:p>
      <w:pPr>
        <w:pStyle w:val="ConsPlusTitle"/>
        <w:jc w:val="center"/>
        <w:rPr/>
      </w:pPr>
      <w:r>
        <w:rPr>
          <w:sz w:val="24"/>
        </w:rPr>
        <w:t>РОССИЙСКОЙ ФЕДЕРАЦИИ</w:t>
      </w:r>
    </w:p>
    <w:p>
      <w:pPr>
        <w:pStyle w:val="ConsPlusNormal"/>
        <w:jc w:val="both"/>
        <w:rPr/>
      </w:pPr>
      <w:r>
        <w:rPr/>
      </w:r>
    </w:p>
    <w:p>
      <w:pPr>
        <w:pStyle w:val="ConsPlusNormal"/>
        <w:ind w:firstLine="540"/>
        <w:jc w:val="both"/>
        <w:rPr/>
      </w:pPr>
      <w:r>
        <w:rPr>
          <w:sz w:val="24"/>
        </w:rPr>
        <w:t>В соответствии с абзацами вторым и третьим пункта 2 статьи 16 Федерального закона от 27 мая 1998 г. N 76-ФЗ "О статусе военнослужащих" (Собрание законодательства Российской Федерации, 1998, N 22, ст. 2331; 2020, N 44, ст. 6895) в целях реализации права военнослужащих войск национальной гвардии Российской Федерации на охрану здоровья и медицинскую помощь - приказываю:</w:t>
      </w:r>
    </w:p>
    <w:p>
      <w:pPr>
        <w:pStyle w:val="ConsPlusNormal"/>
        <w:spacing w:lineRule="auto" w:line="240" w:before="240" w:after="0"/>
        <w:ind w:firstLine="540"/>
        <w:jc w:val="both"/>
        <w:rPr/>
      </w:pPr>
      <w:r>
        <w:rPr>
          <w:sz w:val="24"/>
        </w:rPr>
        <w:t>1. Утвердить:</w:t>
      </w:r>
    </w:p>
    <w:p>
      <w:pPr>
        <w:pStyle w:val="ConsPlusNormal"/>
        <w:spacing w:lineRule="auto" w:line="240" w:before="240" w:after="0"/>
        <w:ind w:firstLine="540"/>
        <w:jc w:val="both"/>
        <w:rPr/>
      </w:pPr>
      <w:r>
        <w:rPr>
          <w:sz w:val="24"/>
        </w:rPr>
        <w:t xml:space="preserve">1.1. </w:t>
      </w:r>
      <w:hyperlink w:anchor="P39" w:tgtFrame="ПОРЯДОК">
        <w:r>
          <w:rPr>
            <w:rStyle w:val="ListLabel2"/>
            <w:color w:val="0000FF"/>
            <w:sz w:val="24"/>
          </w:rPr>
          <w:t>Порядок</w:t>
        </w:r>
      </w:hyperlink>
      <w:r>
        <w:rPr>
          <w:sz w:val="24"/>
        </w:rPr>
        <w:t xml:space="preserve"> прохождения медицинских осмотров и диспансеризации военнослужащими войск национальной гвардии Российской Федерации (приложение N 1).</w:t>
      </w:r>
    </w:p>
    <w:p>
      <w:pPr>
        <w:pStyle w:val="ConsPlusNormal"/>
        <w:spacing w:lineRule="auto" w:line="240" w:before="240" w:after="0"/>
        <w:ind w:firstLine="540"/>
        <w:jc w:val="both"/>
        <w:rPr/>
      </w:pPr>
      <w:r>
        <w:rPr>
          <w:sz w:val="24"/>
        </w:rPr>
        <w:t xml:space="preserve">1.2. </w:t>
      </w:r>
      <w:hyperlink w:anchor="P229" w:tgtFrame="ПЕРЕЧЕНЬ">
        <w:r>
          <w:rPr>
            <w:rStyle w:val="ListLabel2"/>
            <w:color w:val="0000FF"/>
            <w:sz w:val="24"/>
          </w:rPr>
          <w:t>Перечень</w:t>
        </w:r>
      </w:hyperlink>
      <w:r>
        <w:rPr>
          <w:sz w:val="24"/>
        </w:rPr>
        <w:t xml:space="preserve"> исследований, которые проводятся военнослужащим войск национальной гвардии Российской Федерации при прохождении ими медицинских осмотров и диспансеризации (приложение N 2).</w:t>
      </w:r>
    </w:p>
    <w:p>
      <w:pPr>
        <w:pStyle w:val="ConsPlusNormal"/>
        <w:spacing w:lineRule="auto" w:line="240" w:before="240" w:after="0"/>
        <w:ind w:firstLine="540"/>
        <w:jc w:val="both"/>
        <w:rPr/>
      </w:pPr>
      <w:r>
        <w:rPr>
          <w:sz w:val="24"/>
        </w:rPr>
        <w:t>2. Первому заместителю (статс-секретарю - заместителю, заместителям) директора Федеральной службы войск национальной гвардии Российской Федерации - главнокомандующего войсками национальной гвардии Российской Федерации, начальникам (руководителям) структурных подразделений центрального аппарата Росгвардии, командующим округами войск национальной гвардии Российской Федерации, начальникам территориальных органов Росгвардии, командирам соединений, воинских частей, начальникам военных образовательных организаций высшего образования и иных организаций войск национальной гвардии Российской Федерации организовать изучение настоящего приказа и обеспечить его реализацию.</w:t>
      </w:r>
    </w:p>
    <w:p>
      <w:pPr>
        <w:pStyle w:val="ConsPlusNormal"/>
        <w:jc w:val="both"/>
        <w:rPr/>
      </w:pPr>
      <w:r>
        <w:rPr/>
      </w:r>
    </w:p>
    <w:p>
      <w:pPr>
        <w:pStyle w:val="ConsPlusNormal"/>
        <w:jc w:val="right"/>
        <w:rPr/>
      </w:pPr>
      <w:r>
        <w:rPr>
          <w:sz w:val="24"/>
        </w:rPr>
        <w:t>Директор Федеральной службы</w:t>
      </w:r>
    </w:p>
    <w:p>
      <w:pPr>
        <w:pStyle w:val="ConsPlusNormal"/>
        <w:jc w:val="right"/>
        <w:rPr/>
      </w:pPr>
      <w:r>
        <w:rPr>
          <w:sz w:val="24"/>
        </w:rPr>
        <w:t>войск национальной гвардии</w:t>
      </w:r>
    </w:p>
    <w:p>
      <w:pPr>
        <w:pStyle w:val="ConsPlusNormal"/>
        <w:jc w:val="right"/>
        <w:rPr/>
      </w:pPr>
      <w:r>
        <w:rPr>
          <w:sz w:val="24"/>
        </w:rPr>
        <w:t>Российской Федерации -</w:t>
      </w:r>
    </w:p>
    <w:p>
      <w:pPr>
        <w:pStyle w:val="ConsPlusNormal"/>
        <w:jc w:val="right"/>
        <w:rPr/>
      </w:pPr>
      <w:r>
        <w:rPr>
          <w:sz w:val="24"/>
        </w:rPr>
        <w:t>главнокомандующий войсками</w:t>
      </w:r>
    </w:p>
    <w:p>
      <w:pPr>
        <w:pStyle w:val="ConsPlusNormal"/>
        <w:jc w:val="right"/>
        <w:rPr/>
      </w:pPr>
      <w:r>
        <w:rPr>
          <w:sz w:val="24"/>
        </w:rPr>
        <w:t>национальной гвардии</w:t>
      </w:r>
    </w:p>
    <w:p>
      <w:pPr>
        <w:pStyle w:val="ConsPlusNormal"/>
        <w:jc w:val="right"/>
        <w:rPr/>
      </w:pPr>
      <w:r>
        <w:rPr>
          <w:sz w:val="24"/>
        </w:rPr>
        <w:t>Российской Федерации</w:t>
      </w:r>
    </w:p>
    <w:p>
      <w:pPr>
        <w:pStyle w:val="ConsPlusNormal"/>
        <w:jc w:val="right"/>
        <w:rPr/>
      </w:pPr>
      <w:r>
        <w:rPr>
          <w:sz w:val="24"/>
        </w:rPr>
        <w:t>генерал армии</w:t>
      </w:r>
    </w:p>
    <w:p>
      <w:pPr>
        <w:pStyle w:val="ConsPlusNormal"/>
        <w:jc w:val="right"/>
        <w:rPr/>
      </w:pPr>
      <w:r>
        <w:rPr>
          <w:sz w:val="24"/>
        </w:rPr>
        <w:t>В.ЗОЛОТОВ</w:t>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jc w:val="right"/>
        <w:outlineLvl w:val="0"/>
        <w:rPr/>
      </w:pPr>
      <w:r>
        <w:rPr>
          <w:sz w:val="24"/>
        </w:rPr>
        <w:t>Приложение N 1</w:t>
      </w:r>
    </w:p>
    <w:p>
      <w:pPr>
        <w:pStyle w:val="ConsPlusNormal"/>
        <w:jc w:val="right"/>
        <w:rPr/>
      </w:pPr>
      <w:r>
        <w:rPr>
          <w:sz w:val="24"/>
        </w:rPr>
        <w:t>к приказу Федеральной службы</w:t>
      </w:r>
    </w:p>
    <w:p>
      <w:pPr>
        <w:pStyle w:val="ConsPlusNormal"/>
        <w:jc w:val="right"/>
        <w:rPr/>
      </w:pPr>
      <w:r>
        <w:rPr>
          <w:sz w:val="24"/>
        </w:rPr>
        <w:t>войск национальной гвардии</w:t>
      </w:r>
    </w:p>
    <w:p>
      <w:pPr>
        <w:pStyle w:val="ConsPlusNormal"/>
        <w:jc w:val="right"/>
        <w:rPr/>
      </w:pPr>
      <w:r>
        <w:rPr>
          <w:sz w:val="24"/>
        </w:rPr>
        <w:t>Российской Федерации</w:t>
      </w:r>
    </w:p>
    <w:p>
      <w:pPr>
        <w:pStyle w:val="ConsPlusNormal"/>
        <w:jc w:val="right"/>
        <w:rPr/>
      </w:pPr>
      <w:r>
        <w:rPr>
          <w:sz w:val="24"/>
        </w:rPr>
        <w:t>от 23.04.2021 N 142</w:t>
      </w:r>
    </w:p>
    <w:p>
      <w:pPr>
        <w:pStyle w:val="ConsPlusNormal"/>
        <w:jc w:val="both"/>
        <w:rPr/>
      </w:pPr>
      <w:r>
        <w:rPr/>
      </w:r>
      <w:bookmarkStart w:id="0" w:name="P39"/>
      <w:bookmarkStart w:id="1" w:name="P39"/>
      <w:bookmarkEnd w:id="1"/>
    </w:p>
    <w:p>
      <w:pPr>
        <w:pStyle w:val="ConsPlusTitle"/>
        <w:jc w:val="center"/>
        <w:rPr/>
      </w:pPr>
      <w:bookmarkStart w:id="2" w:name="P39"/>
      <w:bookmarkEnd w:id="2"/>
      <w:r>
        <w:rPr>
          <w:sz w:val="24"/>
        </w:rPr>
        <w:t>ПОРЯДОК</w:t>
      </w:r>
    </w:p>
    <w:p>
      <w:pPr>
        <w:pStyle w:val="ConsPlusTitle"/>
        <w:jc w:val="center"/>
        <w:rPr/>
      </w:pPr>
      <w:r>
        <w:rPr>
          <w:sz w:val="24"/>
        </w:rPr>
        <w:t>ПРОХОЖДЕНИЯ МЕДИЦИНСКИХ ОСМОТРОВ И ДИСПАНСЕРИЗАЦИИ</w:t>
      </w:r>
    </w:p>
    <w:p>
      <w:pPr>
        <w:pStyle w:val="ConsPlusTitle"/>
        <w:jc w:val="center"/>
        <w:rPr/>
      </w:pPr>
      <w:r>
        <w:rPr>
          <w:sz w:val="24"/>
        </w:rPr>
        <w:t>ВОЕННОСЛУЖАЩИМИ ВОЙСК НАЦИОНАЛЬНОЙ ГВАРДИИ</w:t>
      </w:r>
    </w:p>
    <w:p>
      <w:pPr>
        <w:pStyle w:val="ConsPlusTitle"/>
        <w:jc w:val="center"/>
        <w:rPr/>
      </w:pPr>
      <w:r>
        <w:rPr>
          <w:sz w:val="24"/>
        </w:rPr>
        <w:t>РОССИЙСКОЙ ФЕДЕРАЦИИ</w:t>
      </w:r>
    </w:p>
    <w:p>
      <w:pPr>
        <w:pStyle w:val="ConsPlusNormal"/>
        <w:jc w:val="both"/>
        <w:rPr/>
      </w:pPr>
      <w:r>
        <w:rPr/>
      </w:r>
    </w:p>
    <w:p>
      <w:pPr>
        <w:pStyle w:val="ConsPlusTitle"/>
        <w:numPr>
          <w:ilvl w:val="0"/>
          <w:numId w:val="0"/>
        </w:numPr>
        <w:ind w:firstLine="540"/>
        <w:jc w:val="both"/>
        <w:outlineLvl w:val="1"/>
        <w:rPr/>
      </w:pPr>
      <w:r>
        <w:rPr>
          <w:sz w:val="24"/>
        </w:rPr>
        <w:t>I. Общие положения</w:t>
      </w:r>
    </w:p>
    <w:p>
      <w:pPr>
        <w:pStyle w:val="ConsPlusNormal"/>
        <w:jc w:val="both"/>
        <w:rPr/>
      </w:pPr>
      <w:r>
        <w:rPr/>
      </w:r>
    </w:p>
    <w:p>
      <w:pPr>
        <w:pStyle w:val="ConsPlusNormal"/>
        <w:ind w:firstLine="540"/>
        <w:jc w:val="both"/>
        <w:rPr/>
      </w:pPr>
      <w:r>
        <w:rPr>
          <w:sz w:val="24"/>
        </w:rPr>
        <w:t>1. Настоящий Порядок регулирует вопросы, связанные с прохождением медицинских осмотров и диспансеризации военнослужащими войск национальной гвардии Российской Федерации (далее - военнослужащие, войска национальной гвардии соответственно), проходящими военную службу в центральном аппарате Росгвардии, оперативно-территориальных объединениях войск национальной гвардии, территориальных органах Росгвардии, соединениях, воинских частях, военных образовательных организациях высшего образования и иных организациях войск национальной гвардии (далее - воинские части (организации).</w:t>
      </w:r>
    </w:p>
    <w:p>
      <w:pPr>
        <w:pStyle w:val="ConsPlusNormal"/>
        <w:spacing w:lineRule="auto" w:line="240" w:before="240" w:after="0"/>
        <w:ind w:firstLine="540"/>
        <w:jc w:val="both"/>
        <w:rPr/>
      </w:pPr>
      <w:r>
        <w:rPr>
          <w:sz w:val="24"/>
        </w:rPr>
        <w:t>2. Медицинские осмотры и диспансеризацию военнослужащие проходят в медицинских подразделениях воинских частей (организаций), медицинских воинских частях, медицинских организациях войск национальной гвардии, а также в медицинских организациях системы Министерства внутренних дел Российской Федерации, оказывающих медицинскую помощь в амбулаторных условиях, к которым военнослужащие прикреплены на медицинское обеспечение (далее - поликлиники МВД России).</w:t>
      </w:r>
    </w:p>
    <w:p>
      <w:pPr>
        <w:pStyle w:val="ConsPlusNormal"/>
        <w:spacing w:lineRule="auto" w:line="240" w:before="240" w:after="0"/>
        <w:ind w:firstLine="540"/>
        <w:jc w:val="both"/>
        <w:rPr/>
      </w:pPr>
      <w:r>
        <w:rPr>
          <w:sz w:val="24"/>
        </w:rPr>
        <w:t>3. При отсутствии в воинской части (организации) медицинского подразделения, по месту дислокации воинской части (организации) или месту жительства военнослужащих медицинских организаций (медицинских воинских частей) войск национальной гвардии и поликлиник МВД России и (или) при отсутствии в них отделений соответствующего профиля, специалистов или специального медицинского оборудования медицинские осмотры и диспансеризация военнослужащих воинской части (организации) проводятся выездной группой врачей-специалистов медицинской организации (медицинской воинской части) войск национальной гвардии либо в медицинских организациях государственной системы здравоохранения и муниципальной системы здравоохранения &lt;1&gt;.</w:t>
      </w:r>
    </w:p>
    <w:p>
      <w:pPr>
        <w:pStyle w:val="ConsPlusNormal"/>
        <w:spacing w:lineRule="auto" w:line="240" w:before="240" w:after="0"/>
        <w:ind w:firstLine="540"/>
        <w:jc w:val="both"/>
        <w:rPr/>
      </w:pPr>
      <w:r>
        <w:rPr>
          <w:sz w:val="24"/>
        </w:rPr>
        <w:t>--------------------------------</w:t>
      </w:r>
    </w:p>
    <w:p>
      <w:pPr>
        <w:pStyle w:val="ConsPlusNormal"/>
        <w:spacing w:lineRule="auto" w:line="240" w:before="240" w:after="0"/>
        <w:ind w:firstLine="540"/>
        <w:jc w:val="both"/>
        <w:rPr/>
      </w:pPr>
      <w:r>
        <w:rPr>
          <w:sz w:val="24"/>
        </w:rPr>
        <w:t>&lt;1&gt; Абзац четвертый пункта 2 статьи 16 Федерального закона от 27 мая 1998 г. N 76-ФЗ "О статусе военнослужащих" (Собрание законодательства Российской Федерации, 1998, N 22, ст. 2331; 2020, N 44, ст. 6895).</w:t>
      </w:r>
    </w:p>
    <w:p>
      <w:pPr>
        <w:pStyle w:val="ConsPlusNormal"/>
        <w:jc w:val="both"/>
        <w:rPr/>
      </w:pPr>
      <w:r>
        <w:rPr/>
      </w:r>
    </w:p>
    <w:p>
      <w:pPr>
        <w:pStyle w:val="ConsPlusNormal"/>
        <w:ind w:firstLine="540"/>
        <w:jc w:val="both"/>
        <w:rPr/>
      </w:pPr>
      <w:r>
        <w:rPr>
          <w:sz w:val="24"/>
        </w:rPr>
        <w:t>Направление военнослужащих в медицинские организации государственной системы здравоохранения и муниципальной системы здравоохранения для прохождения медицинских осмотров и диспансеризации осуществляется командиром (начальником) воинской части (организации) на основании рапорта начальника медицинской службы (при его отсутствии - врача, фельдшера) (далее - начальник медицинской службы) воинской части (организации) о необходимости их проведения в указанных медицинских организациях.</w:t>
      </w:r>
    </w:p>
    <w:p>
      <w:pPr>
        <w:pStyle w:val="ConsPlusNormal"/>
        <w:spacing w:lineRule="auto" w:line="240" w:before="240" w:after="0"/>
        <w:ind w:firstLine="540"/>
        <w:jc w:val="both"/>
        <w:rPr/>
      </w:pPr>
      <w:r>
        <w:rPr>
          <w:sz w:val="24"/>
        </w:rPr>
        <w:t>4. Командир (начальник) воинской части (организации) обеспечивает полноту охвата военнослужащих воинской части (организации) диспансеризацией, командир (начальник) подразделения воинской части (организации) - полноту охвата военнослужащих медицинскими осмотрами.</w:t>
      </w:r>
    </w:p>
    <w:p>
      <w:pPr>
        <w:pStyle w:val="ConsPlusNormal"/>
        <w:spacing w:lineRule="auto" w:line="240" w:before="240" w:after="0"/>
        <w:ind w:firstLine="540"/>
        <w:jc w:val="both"/>
        <w:rPr/>
      </w:pPr>
      <w:r>
        <w:rPr>
          <w:sz w:val="24"/>
        </w:rPr>
        <w:t>5. Военнослужащие проходят диспансеризацию в соответствии с приказом командира (начальника) воинской части (организации), которым утверждается график проведения диспансеризации, а также устанавливаются время, место и порядок ее проведения.</w:t>
      </w:r>
      <w:bookmarkStart w:id="3" w:name="P55"/>
    </w:p>
    <w:p>
      <w:pPr>
        <w:pStyle w:val="ConsPlusNormal"/>
        <w:spacing w:lineRule="auto" w:line="240" w:before="240" w:after="0"/>
        <w:ind w:firstLine="540"/>
        <w:jc w:val="both"/>
        <w:rPr/>
      </w:pPr>
      <w:bookmarkEnd w:id="3"/>
      <w:r>
        <w:rPr>
          <w:sz w:val="24"/>
        </w:rPr>
        <w:t>6. Военнослужащие, проходящие военную службу по контракту в центральном аппарате Росгвардии, командиры (начальники) воинских частей (организаций), непосредственно подчиненных директору Федеральной службы войск национальной гвардии Российской Федерации - главнокомандующему войсками национальной гвардии Российской Федерации (далее - директор), а также военнослужащие, проходящие военную службу по контракту в воинских частях (организациях), медицинское обеспечение которых возложено на медицинское подразделение войсковой части 6925 войск национальной гвардии, проходят диспансеризацию в соответствии с приказом Федеральной службы войск национальной гвардии Российской Федерации, проект которого подготавливается Департаментом медицинского обеспечения Федеральной службы войск национальной гвардии Российской Федерации (далее - ДМО Росгвардии).</w:t>
      </w:r>
    </w:p>
    <w:p>
      <w:pPr>
        <w:pStyle w:val="ConsPlusNormal"/>
        <w:spacing w:lineRule="auto" w:line="240" w:before="240" w:after="0"/>
        <w:ind w:firstLine="540"/>
        <w:jc w:val="both"/>
        <w:rPr/>
      </w:pPr>
      <w:r>
        <w:rPr>
          <w:sz w:val="24"/>
        </w:rPr>
        <w:t>7. В случае прохождения военнослужащими, проходящими военную службу по контракту, медицинских осмотров и диспансеризации в поликлиниках МВД России график проведения диспансеризации согласовывается с данными медицинскими организациями.</w:t>
      </w:r>
    </w:p>
    <w:p>
      <w:pPr>
        <w:pStyle w:val="ConsPlusNormal"/>
        <w:jc w:val="both"/>
        <w:rPr/>
      </w:pPr>
      <w:r>
        <w:rPr/>
      </w:r>
    </w:p>
    <w:p>
      <w:pPr>
        <w:pStyle w:val="ConsPlusTitle"/>
        <w:numPr>
          <w:ilvl w:val="0"/>
          <w:numId w:val="0"/>
        </w:numPr>
        <w:ind w:firstLine="540"/>
        <w:jc w:val="both"/>
        <w:outlineLvl w:val="1"/>
        <w:rPr/>
      </w:pPr>
      <w:r>
        <w:rPr>
          <w:sz w:val="24"/>
        </w:rPr>
        <w:t>II. Прохождение диспансеризации военнослужащими</w:t>
      </w:r>
    </w:p>
    <w:p>
      <w:pPr>
        <w:pStyle w:val="ConsPlusNormal"/>
        <w:jc w:val="both"/>
        <w:rPr/>
      </w:pPr>
      <w:r>
        <w:rPr/>
      </w:r>
    </w:p>
    <w:p>
      <w:pPr>
        <w:pStyle w:val="ConsPlusNormal"/>
        <w:ind w:firstLine="540"/>
        <w:jc w:val="both"/>
        <w:rPr/>
      </w:pPr>
      <w:r>
        <w:rPr>
          <w:sz w:val="24"/>
        </w:rPr>
        <w:t>8. Диспансеризация военнослужащих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их здоровья (включая определение группы здоровья и группы диспансерного наблюдения) &lt;1&gt;.</w:t>
      </w:r>
    </w:p>
    <w:p>
      <w:pPr>
        <w:pStyle w:val="ConsPlusNormal"/>
        <w:spacing w:lineRule="auto" w:line="240" w:before="240" w:after="0"/>
        <w:ind w:firstLine="540"/>
        <w:jc w:val="both"/>
        <w:rPr/>
      </w:pPr>
      <w:r>
        <w:rPr>
          <w:sz w:val="24"/>
        </w:rPr>
        <w:t>--------------------------------</w:t>
      </w:r>
    </w:p>
    <w:p>
      <w:pPr>
        <w:pStyle w:val="ConsPlusNormal"/>
        <w:spacing w:lineRule="auto" w:line="240" w:before="240" w:after="0"/>
        <w:ind w:firstLine="540"/>
        <w:jc w:val="both"/>
        <w:rPr/>
      </w:pPr>
      <w:r>
        <w:rPr>
          <w:sz w:val="24"/>
        </w:rPr>
        <w:t>&lt;1&gt; Пункт 349 Устава внутренней службы Вооруженных Сил Российской Федерации, утвержденного Указом Президента Российской Федерации от 10 ноября 2007 г. N 1495 "Об утверждении общевоинских уставов Вооруженных Сил Российской Федерации" (Собрание законодательства Российской Федерации, 2007, N 47, ст. 5749; 2021, N 6, ст. 965). Далее - "Устав внутренней службы", "Указ Президента Российской Федерации N 1495" соответственно.</w:t>
      </w:r>
    </w:p>
    <w:p>
      <w:pPr>
        <w:pStyle w:val="ConsPlusNormal"/>
        <w:jc w:val="both"/>
        <w:rPr/>
      </w:pPr>
      <w:r>
        <w:rPr/>
      </w:r>
    </w:p>
    <w:p>
      <w:pPr>
        <w:pStyle w:val="ConsPlusNormal"/>
        <w:ind w:firstLine="540"/>
        <w:jc w:val="both"/>
        <w:rPr/>
      </w:pPr>
      <w:r>
        <w:rPr>
          <w:sz w:val="24"/>
        </w:rPr>
        <w:t>9. Профилактический медицинский осмотр военнослужащих в рамках диспансеризации проводится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&lt;2&gt;.</w:t>
      </w:r>
    </w:p>
    <w:p>
      <w:pPr>
        <w:pStyle w:val="ConsPlusNormal"/>
        <w:spacing w:lineRule="auto" w:line="240" w:before="240" w:after="0"/>
        <w:ind w:firstLine="540"/>
        <w:jc w:val="both"/>
        <w:rPr/>
      </w:pPr>
      <w:r>
        <w:rPr>
          <w:sz w:val="24"/>
        </w:rPr>
        <w:t>--------------------------------</w:t>
      </w:r>
    </w:p>
    <w:p>
      <w:pPr>
        <w:pStyle w:val="ConsPlusNormal"/>
        <w:spacing w:lineRule="auto" w:line="240" w:before="240" w:after="0"/>
        <w:ind w:firstLine="540"/>
        <w:jc w:val="both"/>
        <w:rPr/>
      </w:pPr>
      <w:r>
        <w:rPr>
          <w:sz w:val="24"/>
        </w:rPr>
        <w:t>&lt;2&gt; Пункт 1 части 2 статьи 46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2016, N 27, ст. 4219). Далее - "Закон об основах охраны здоровья граждан".</w:t>
      </w:r>
    </w:p>
    <w:p>
      <w:pPr>
        <w:pStyle w:val="ConsPlusNormal"/>
        <w:jc w:val="both"/>
        <w:rPr/>
      </w:pPr>
      <w:r>
        <w:rPr/>
      </w:r>
    </w:p>
    <w:p>
      <w:pPr>
        <w:pStyle w:val="ConsPlusNormal"/>
        <w:ind w:firstLine="540"/>
        <w:jc w:val="both"/>
        <w:rPr/>
      </w:pPr>
      <w:r>
        <w:rPr>
          <w:sz w:val="24"/>
        </w:rPr>
        <w:t>10. Диспансеризация проводится при наличии информированного добровольного согласия военнослужащего на медицинское вмешательство, данного с соблюдением требований, установленных статьей 20 Закона об основах охраны здоровья граждан.</w:t>
      </w:r>
    </w:p>
    <w:p>
      <w:pPr>
        <w:pStyle w:val="ConsPlusNormal"/>
        <w:spacing w:lineRule="auto" w:line="240" w:before="240" w:after="0"/>
        <w:ind w:firstLine="540"/>
        <w:jc w:val="both"/>
        <w:rPr/>
      </w:pPr>
      <w:r>
        <w:rPr>
          <w:sz w:val="24"/>
        </w:rPr>
        <w:t>11. Диспансеризацию проходят:</w:t>
      </w:r>
    </w:p>
    <w:p>
      <w:pPr>
        <w:pStyle w:val="ConsPlusNormal"/>
        <w:spacing w:lineRule="auto" w:line="240" w:before="240" w:after="0"/>
        <w:ind w:firstLine="540"/>
        <w:jc w:val="both"/>
        <w:rPr/>
      </w:pPr>
      <w:r>
        <w:rPr>
          <w:sz w:val="24"/>
        </w:rPr>
        <w:t>11.1. Военнослужащие, проходящие военную службу по призыву, в том числе вновь прибывшее пополнение, - амбулаторно два раза в год, перед началом зимнего и летнего периодов обучения, в медицинских подразделениях воинских частей (организаций), амбулаторно-поликлинических подразделениях медицинских воинских частей, медицинских организаций войск национальной гвардии. При этом вновь прибывшее пополнение диспансеризацию проходит в течение 14 суток со дня их прибытия в воинскую часть (организацию).</w:t>
      </w:r>
    </w:p>
    <w:p>
      <w:pPr>
        <w:pStyle w:val="ConsPlusNormal"/>
        <w:spacing w:lineRule="auto" w:line="240" w:before="240" w:after="0"/>
        <w:ind w:firstLine="540"/>
        <w:jc w:val="both"/>
        <w:rPr/>
      </w:pPr>
      <w:r>
        <w:rPr>
          <w:sz w:val="24"/>
        </w:rPr>
        <w:t xml:space="preserve">11.2. Военнослужащие, проходящие военную службу по контракту, за исключением указанных в </w:t>
      </w:r>
      <w:hyperlink w:anchor="P72" w:tgtFrame="11.3. Военнослужащие, проходящие военную службу по контракту, из числа летного состава центрального аппарата Росгвардии, авиационных отделов оперативно-территориальных объединений, авиационных воинских частей (подразделений) войск национальной гвардии (далее - летный состав) - в медицинских подразделениях воинских частей (организаций), медицинских воинских частях, медицинских организациях войск национальной гвардии, поликлиниках МВД России в период медицинского освидетельствования, ежегодно проводимого в...">
        <w:r>
          <w:rPr>
            <w:rStyle w:val="ListLabel2"/>
            <w:color w:val="0000FF"/>
            <w:sz w:val="24"/>
          </w:rPr>
          <w:t>подпунктах 11.3</w:t>
        </w:r>
      </w:hyperlink>
      <w:r>
        <w:rPr>
          <w:sz w:val="24"/>
        </w:rPr>
        <w:t xml:space="preserve"> и </w:t>
      </w:r>
      <w:hyperlink w:anchor="P73" w:tgtFrame="11.4. Военнослужащие, проходящие военную службу по контракту, допущенные к выполнению и (или) обеспечению водолазных работ под водой (в барокамере под повышенным давлением) (далее - водолазы), работающие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создающими электромагнитные поля в диапазоне частот от 30 кГц до 300 ГГц, и оптическими квантовыми ген...">
        <w:r>
          <w:rPr>
            <w:rStyle w:val="ListLabel2"/>
            <w:color w:val="0000FF"/>
            <w:sz w:val="24"/>
          </w:rPr>
          <w:t>11.4 пункта 11</w:t>
        </w:r>
      </w:hyperlink>
      <w:r>
        <w:rPr>
          <w:sz w:val="24"/>
        </w:rPr>
        <w:t xml:space="preserve">, </w:t>
      </w:r>
      <w:hyperlink r:id="rId5" w:anchor="P74" w:tgtFrame="12. Директор, первый заместитель (статс-секретарь - заместитель, заместители) директора, командующие округами войск национальной гвардии проходят диспансеризацию ежегодно в федеральном государственном казенном учреждении здравоохранения Главный военный клинический госпиталь войск национальной гвардии Российской Федерации">
        <w:r>
          <w:rPr>
            <w:rStyle w:val="ListLabel2"/>
            <w:color w:val="0000FF"/>
            <w:sz w:val="24"/>
          </w:rPr>
          <w:t>пункте 12</w:t>
        </w:r>
      </w:hyperlink>
      <w:r>
        <w:rPr>
          <w:sz w:val="24"/>
        </w:rPr>
        <w:t xml:space="preserve"> настоящего Порядка, - ежегодно амбулаторно в медицинских подразделениях воинских частей (организаций), амбулаторно-поликлинических подразделениях медицинских воинских частей, медицинских организаций войск национальной гвардии, поликлиниках МВД России.</w:t>
      </w:r>
      <w:bookmarkStart w:id="4" w:name="P72"/>
    </w:p>
    <w:p>
      <w:pPr>
        <w:pStyle w:val="ConsPlusNormal"/>
        <w:spacing w:lineRule="auto" w:line="240" w:before="240" w:after="0"/>
        <w:ind w:firstLine="540"/>
        <w:jc w:val="both"/>
        <w:rPr/>
      </w:pPr>
      <w:bookmarkEnd w:id="4"/>
      <w:r>
        <w:rPr>
          <w:sz w:val="24"/>
        </w:rPr>
        <w:t>11.3. Военнослужащие, проходящие военную службу по контракту, из числа летного состава центрального аппарата Росгвардии, авиационных отделов оперативно-территориальных объединений, авиационных воинских частей (подразделений) войск национальной гвардии (далее - летный состав) - в медицинских подразделениях воинских частей (организаций), медицинских воинских частях, медицинских организациях войск национальной гвардии, поликлиниках МВД России в период медицинского освидетельствования, ежегодно проводимого врачебно-летными комиссиями в соответствии с требованиями Федеральных авиационных правил медицинского обеспечения полетов государственной авиации, утвержденных приказом Министра обороны Российской Федерации от 27 апреля 2009 г. N 265 (зарегистрирован Минюстом России 9 июля 2009 года, регистрационный N 14293) (далее - Федеральные авиационные правила медицинского обеспечения полетов).</w:t>
      </w:r>
      <w:bookmarkStart w:id="5" w:name="P73"/>
    </w:p>
    <w:p>
      <w:pPr>
        <w:pStyle w:val="ConsPlusNormal"/>
        <w:spacing w:lineRule="auto" w:line="240" w:before="240" w:after="0"/>
        <w:ind w:firstLine="540"/>
        <w:jc w:val="both"/>
        <w:rPr/>
      </w:pPr>
      <w:bookmarkEnd w:id="5"/>
      <w:r>
        <w:rPr>
          <w:sz w:val="24"/>
        </w:rPr>
        <w:t>11.4. Военнослужащие, проходящие военную службу по контракту, допущенные к выполнению и (или) обеспечению водолазных работ под водой (в барокамере под повышенным давлением) (далее - водолазы), работающие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создающими электромагнитные поля в диапазоне частот от 30 кГц до 300 ГГц, и оптическими квантовыми генераторами, микроорганизмами I, II групп патогенности, - в медицинских подразделениях воинских частей (организаций), медицинских воинских частях, медицинских организациях войск национальной гвардии, поликлиниках МВД России в период ежегодно проводимого военно-врачебными комиссиями медицинского освидетельствования.</w:t>
      </w:r>
      <w:bookmarkStart w:id="6" w:name="P74"/>
    </w:p>
    <w:p>
      <w:pPr>
        <w:pStyle w:val="ConsPlusNormal"/>
        <w:spacing w:lineRule="auto" w:line="240" w:before="240" w:after="0"/>
        <w:ind w:firstLine="540"/>
        <w:jc w:val="both"/>
        <w:rPr/>
      </w:pPr>
      <w:bookmarkEnd w:id="6"/>
      <w:r>
        <w:rPr>
          <w:sz w:val="24"/>
        </w:rPr>
        <w:t>12. Директор, первый заместитель (статс-секретарь - заместитель, заместители) директора, командующие округами войск национальной гвардии проходят диспансеризацию ежегодно в федеральном государственном казенном учреждении здравоохранения "Главный военный клинический госпиталь войск национальной гвардии Российской Федерации" (далее - госпиталь) в стационарных условиях.</w:t>
      </w:r>
    </w:p>
    <w:p>
      <w:pPr>
        <w:pStyle w:val="ConsPlusNormal"/>
        <w:spacing w:lineRule="auto" w:line="240" w:before="240" w:after="0"/>
        <w:ind w:firstLine="540"/>
        <w:jc w:val="both"/>
        <w:rPr/>
      </w:pPr>
      <w:r>
        <w:rPr>
          <w:sz w:val="24"/>
        </w:rPr>
        <w:t xml:space="preserve">13. Военнослужащие проходят диспансеризацию в объеме, установленном </w:t>
      </w:r>
      <w:hyperlink w:anchor="P234" w:tgtFrame="I. Перечень исследований, которые проводятся военнослужащим, проходящим военную службу по призыву, при прохождении ими диспансеризации">
        <w:r>
          <w:rPr>
            <w:rStyle w:val="ListLabel2"/>
            <w:color w:val="0000FF"/>
            <w:sz w:val="24"/>
          </w:rPr>
          <w:t>разделами I</w:t>
        </w:r>
      </w:hyperlink>
      <w:r>
        <w:rPr>
          <w:sz w:val="24"/>
        </w:rPr>
        <w:t xml:space="preserve"> - </w:t>
      </w:r>
      <w:hyperlink w:anchor="P997" w:tgtFrame="III. Перечень исследований, которые проводятся военнослужащим, проходящим военную службу по контракту, в возрасте от 41 до 65 лет при прохождении ими диспансеризации">
        <w:r>
          <w:rPr>
            <w:rStyle w:val="ListLabel2"/>
            <w:color w:val="0000FF"/>
            <w:sz w:val="24"/>
          </w:rPr>
          <w:t>III</w:t>
        </w:r>
      </w:hyperlink>
      <w:r>
        <w:rPr>
          <w:sz w:val="24"/>
        </w:rPr>
        <w:t xml:space="preserve"> Перечня исследований, которые проводятся военнослужащим войск национальной гвардии Российской Федерации при прохождении ими медицинских осмотров и диспансеризации (приложение N 2 к настоящему приказу) (далее - Перечень), для определенной категории, пола и возраста военнослужащего.</w:t>
      </w:r>
    </w:p>
    <w:p>
      <w:pPr>
        <w:pStyle w:val="ConsPlusNormal"/>
        <w:spacing w:lineRule="auto" w:line="240" w:before="240" w:after="0"/>
        <w:ind w:firstLine="540"/>
        <w:jc w:val="both"/>
        <w:rPr/>
      </w:pPr>
      <w:r>
        <w:rPr>
          <w:sz w:val="24"/>
        </w:rPr>
        <w:t>14. При выявлении у военнослужащего в процессе диспансеризации медицинских показаний к проведению дополнительных, не входящих в объем профилактического медицинского осмотра исследований и осмотров врачами-специалистами для уточнения диагноза заболевания (состояния) (выявлено подозрение на наличие хронического неинфекционного заболевания, высокий и очень высокий суммарный сердечно-сосудистый риск и прочее) такие исследования и осмотры назначаются и проводятся в соответствии с порядками оказания медицинской помощи по профилю выявленного или предполагаемого заболевания (состояния) с учетом стандартов медицинской помощи, а также на основе клинических рекомендаций &lt;1&gt; в амбулаторных или стационарных условиях.</w:t>
      </w:r>
    </w:p>
    <w:p>
      <w:pPr>
        <w:pStyle w:val="ConsPlusNormal"/>
        <w:spacing w:lineRule="auto" w:line="240" w:before="240" w:after="0"/>
        <w:ind w:firstLine="540"/>
        <w:jc w:val="both"/>
        <w:rPr/>
      </w:pPr>
      <w:r>
        <w:rPr>
          <w:sz w:val="24"/>
        </w:rPr>
        <w:t>--------------------------------</w:t>
      </w:r>
    </w:p>
    <w:p>
      <w:pPr>
        <w:pStyle w:val="ConsPlusNormal"/>
        <w:spacing w:lineRule="auto" w:line="240" w:before="240" w:after="0"/>
        <w:ind w:firstLine="540"/>
        <w:jc w:val="both"/>
        <w:rPr/>
      </w:pPr>
      <w:r>
        <w:rPr>
          <w:sz w:val="24"/>
        </w:rPr>
        <w:t>&lt;1&gt; Статья 37 Закона об основах охраны здоровья граждан.</w:t>
      </w:r>
    </w:p>
    <w:p>
      <w:pPr>
        <w:pStyle w:val="ConsPlusNormal"/>
        <w:jc w:val="both"/>
        <w:rPr/>
      </w:pPr>
      <w:r>
        <w:rPr/>
      </w:r>
    </w:p>
    <w:p>
      <w:pPr>
        <w:pStyle w:val="ConsPlusNormal"/>
        <w:ind w:firstLine="540"/>
        <w:jc w:val="both"/>
        <w:rPr/>
      </w:pPr>
      <w:r>
        <w:rPr>
          <w:sz w:val="24"/>
        </w:rPr>
        <w:t>15. Результаты осмотров врачами-специалистами, исследований и иных медицинских вмешательств, входящих в объем диспансеризации, вносятся в медицинскую книжку военнослужащего (медицинскую карту пациента, получающего медицинскую помощь в амбулаторных условиях &lt;2&gt;) с пометкой "Диспансеризация".</w:t>
      </w:r>
    </w:p>
    <w:p>
      <w:pPr>
        <w:pStyle w:val="ConsPlusNormal"/>
        <w:spacing w:lineRule="auto" w:line="240" w:before="240" w:after="0"/>
        <w:ind w:firstLine="540"/>
        <w:jc w:val="both"/>
        <w:rPr/>
      </w:pPr>
      <w:r>
        <w:rPr>
          <w:sz w:val="24"/>
        </w:rPr>
        <w:t>--------------------------------</w:t>
      </w:r>
    </w:p>
    <w:p>
      <w:pPr>
        <w:pStyle w:val="ConsPlusNormal"/>
        <w:spacing w:lineRule="auto" w:line="240" w:before="240" w:after="0"/>
        <w:ind w:firstLine="540"/>
        <w:jc w:val="both"/>
        <w:rPr/>
      </w:pPr>
      <w:r>
        <w:rPr>
          <w:sz w:val="24"/>
        </w:rPr>
        <w:t>&lt;2&gt; Форма N 025/у утверждена приказом Минздрава России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Минюстом России 20 февраля 2015 года, регистрационный N 36160), с изменениями, внесенными приказами Минздрава России от 9 января 2018 г. N 2н (зарегистрирован Минюстом России 4 апреля 2018 года, регистрационный N 50614), от 2 ноября 2020 г. N 1186н (зарегистрирован Минюстом России 27 ноября 2020 года, регистрационный N 61121). Далее - "амбулаторная карта".</w:t>
      </w:r>
    </w:p>
    <w:p>
      <w:pPr>
        <w:pStyle w:val="ConsPlusNormal"/>
        <w:jc w:val="both"/>
        <w:rPr/>
      </w:pPr>
      <w:r>
        <w:rPr/>
      </w:r>
    </w:p>
    <w:p>
      <w:pPr>
        <w:pStyle w:val="ConsPlusNormal"/>
        <w:ind w:firstLine="540"/>
        <w:jc w:val="both"/>
        <w:rPr/>
      </w:pPr>
      <w:r>
        <w:rPr>
          <w:sz w:val="24"/>
        </w:rPr>
        <w:t xml:space="preserve">16. По результатам прохождения военнослужащим, указанным в </w:t>
      </w:r>
      <w:hyperlink r:id="rId6" w:anchor="P74" w:tgtFrame="12. Директор, первый заместитель (статс-секретарь - заместитель, заместители) директора, командующие округами войск национальной гвардии проходят диспансеризацию ежегодно в федеральном государственном казенном учреждении здравоохранения Главный военный клинический госпиталь войск национальной гвардии Российской Федерации">
        <w:r>
          <w:rPr>
            <w:rStyle w:val="ListLabel2"/>
            <w:color w:val="0000FF"/>
            <w:sz w:val="24"/>
          </w:rPr>
          <w:t>пункте 12</w:t>
        </w:r>
      </w:hyperlink>
      <w:r>
        <w:rPr>
          <w:sz w:val="24"/>
        </w:rPr>
        <w:t xml:space="preserve"> настоящего Порядка, диспансеризации госпиталем оформляется выписной эпикриз из медицинской карты стационарного больного, который в течение 5 дней после выписки военнослужащего из госпиталя направляется в медицинское подразделение воинской части (организации), на которое возложено его медицинское обеспечение (поликлинику МВД России по месту прикрепления его на медицинское обеспечение), и подшивается в медицинскую книжку (амбулаторную карту) военнослужащего.</w:t>
      </w:r>
    </w:p>
    <w:p>
      <w:pPr>
        <w:pStyle w:val="ConsPlusNormal"/>
        <w:spacing w:lineRule="auto" w:line="240" w:before="240" w:after="0"/>
        <w:ind w:firstLine="540"/>
        <w:jc w:val="both"/>
        <w:rPr/>
      </w:pPr>
      <w:r>
        <w:rPr>
          <w:sz w:val="24"/>
        </w:rPr>
        <w:t>В выписном эпикризе из медицинской карты стационарного больного указываются все выявленные у военнослужащего диагнозы, сведения о состоянии здоровья, результаты проведенного медицинского обследования (лечения), заключения врачей-специалистов, рекомендации по дальнейшей тактике наблюдения, обследования и лечения, группа состояния здоровья.</w:t>
      </w:r>
    </w:p>
    <w:p>
      <w:pPr>
        <w:pStyle w:val="ConsPlusNormal"/>
        <w:spacing w:lineRule="auto" w:line="240" w:before="240" w:after="0"/>
        <w:ind w:firstLine="540"/>
        <w:jc w:val="both"/>
        <w:rPr/>
      </w:pPr>
      <w:r>
        <w:rPr>
          <w:sz w:val="24"/>
        </w:rPr>
        <w:t>17. Военнослужащим, проходящим военную службу по контракту, находившимся в текущем году на лечении (обследовании) в стационарных условиях, а также прошедшим в текущем году медицинское освидетельствование в военно-врачебной комиссии (врачебно-летной комиссии), при прохождении диспансеризации учитываются результаты проведенных диагностических исследований и осмотров врачей-специалистов. Решение о необходимости прохождения в рамках диспансеризации повторных исследований и (или) осмотров врачами-специалистами принимается врачом воинской части (организации) (врачом-терапевтом поликлиники МВД России) индивидуально с учетом всех имеющихся результатов обследований и состояния здоровья военнослужащего.</w:t>
      </w:r>
    </w:p>
    <w:p>
      <w:pPr>
        <w:pStyle w:val="ConsPlusNormal"/>
        <w:spacing w:lineRule="auto" w:line="240" w:before="240" w:after="0"/>
        <w:ind w:firstLine="540"/>
        <w:jc w:val="both"/>
        <w:rPr/>
      </w:pPr>
      <w:r>
        <w:rPr>
          <w:sz w:val="24"/>
        </w:rPr>
        <w:t xml:space="preserve">18. При наличии в медицинской книжке (амбулаторной карте) военнослужащего, проходящего военную службу по контракту, результатов исследований и осмотров врачами-специалистами, установленных </w:t>
      </w:r>
      <w:hyperlink w:anchor="P229" w:tgtFrame="ПЕРЕЧЕНЬ">
        <w:r>
          <w:rPr>
            <w:rStyle w:val="ListLabel2"/>
            <w:color w:val="0000FF"/>
            <w:sz w:val="24"/>
          </w:rPr>
          <w:t>Перечнем</w:t>
        </w:r>
      </w:hyperlink>
      <w:r>
        <w:rPr>
          <w:sz w:val="24"/>
        </w:rPr>
        <w:t xml:space="preserve"> для возраста и пола военнослужащего, которые выполнялись в течение 6 месяцев, предшествующих месяцу проведения медицинского обследования, решение о необходимости повторных исследований и (или) осмотров врачами-специалистами в рамках диспансеризации принимается врачом воинской части (организации) (врачом-терапевтом поликлиники МВД России) индивидуально с учетом всех имеющихся результатов обследований и состояния здоровья военнослужащего.</w:t>
      </w:r>
    </w:p>
    <w:p>
      <w:pPr>
        <w:pStyle w:val="ConsPlusNormal"/>
        <w:spacing w:lineRule="auto" w:line="240" w:before="240" w:after="0"/>
        <w:ind w:firstLine="540"/>
        <w:jc w:val="both"/>
        <w:rPr/>
      </w:pPr>
      <w:r>
        <w:rPr>
          <w:sz w:val="24"/>
        </w:rPr>
        <w:t>19. Военнослужащие женского пола, проходящие военную службу по контракту, находящиеся в отпуске по беременности и родам, а также по уходу за ребенком до достижения им возраста трех лет, освобождаются от прохождения диспансеризации.</w:t>
      </w:r>
    </w:p>
    <w:p>
      <w:pPr>
        <w:pStyle w:val="ConsPlusNormal"/>
        <w:spacing w:lineRule="auto" w:line="240" w:before="240" w:after="0"/>
        <w:ind w:firstLine="540"/>
        <w:jc w:val="both"/>
        <w:rPr/>
      </w:pPr>
      <w:r>
        <w:rPr>
          <w:sz w:val="24"/>
        </w:rPr>
        <w:t>20. Военнослужащий, проходящий военную службу по контракту, не прошедший диспансеризацию в связи с его временной нетрудоспособностью, нахождением в отпуске или командировке в сроки, установленные приказом Росгвардии, командира (начальника) воинской части (организации), проходит диспансеризацию в течение месяца после выхода на военную службу (возвращения из командировки).</w:t>
      </w:r>
    </w:p>
    <w:p>
      <w:pPr>
        <w:pStyle w:val="ConsPlusNormal"/>
        <w:spacing w:lineRule="auto" w:line="240" w:before="240" w:after="0"/>
        <w:ind w:firstLine="540"/>
        <w:jc w:val="both"/>
        <w:rPr/>
      </w:pPr>
      <w:r>
        <w:rPr>
          <w:sz w:val="24"/>
        </w:rPr>
        <w:t xml:space="preserve">21. Диспансеризация считается законченной при выполнении полного объема установленных для возраста и пола военнослужащего исследований и осмотров врачами-специалистами, указанных в </w:t>
      </w:r>
      <w:hyperlink w:anchor="P229" w:tgtFrame="ПЕРЕЧЕНЬ">
        <w:r>
          <w:rPr>
            <w:rStyle w:val="ListLabel2"/>
            <w:color w:val="0000FF"/>
            <w:sz w:val="24"/>
          </w:rPr>
          <w:t>Перечне</w:t>
        </w:r>
      </w:hyperlink>
      <w:r>
        <w:rPr>
          <w:sz w:val="24"/>
        </w:rPr>
        <w:t>.</w:t>
      </w:r>
    </w:p>
    <w:p>
      <w:pPr>
        <w:pStyle w:val="ConsPlusNormal"/>
        <w:spacing w:lineRule="auto" w:line="240" w:before="240" w:after="0"/>
        <w:ind w:firstLine="540"/>
        <w:jc w:val="both"/>
        <w:rPr/>
      </w:pPr>
      <w:r>
        <w:rPr>
          <w:sz w:val="24"/>
        </w:rPr>
        <w:t>22. Справка о прохождении военнослужащим по контракту диспансеризации, выданная ему на руки врачом-терапевтом поликлиники МВД России по результатам прохождения им диспансеризации (с указанием группы здоровья, всех установленных у него диагнозов увечий (ранений, травм, контузий), заболеваний в соответствии с кодами Международной статистической классификации болезней и проблем, связанных со здоровьем, 10-го пересмотра (далее - МКБ-10), в срок не позднее 5 рабочих дней с даты ее выдачи представляется военнослужащим в медицинское подразделение воинской части (организации), на которое возложено его медицинское обеспечение, для учета заболеваемости.</w:t>
      </w:r>
    </w:p>
    <w:p>
      <w:pPr>
        <w:pStyle w:val="ConsPlusNormal"/>
        <w:spacing w:lineRule="auto" w:line="240" w:before="240" w:after="0"/>
        <w:ind w:firstLine="540"/>
        <w:jc w:val="both"/>
        <w:rPr/>
      </w:pPr>
      <w:r>
        <w:rPr>
          <w:sz w:val="24"/>
        </w:rPr>
        <w:t xml:space="preserve">23. Отказ военнослужащего от осмотров врачами-специалистами и (или) от исследований, установленных </w:t>
      </w:r>
      <w:hyperlink w:anchor="P229" w:tgtFrame="ПЕРЕЧЕНЬ">
        <w:r>
          <w:rPr>
            <w:rStyle w:val="ListLabel2"/>
            <w:color w:val="0000FF"/>
            <w:sz w:val="24"/>
          </w:rPr>
          <w:t>Перечнем</w:t>
        </w:r>
      </w:hyperlink>
      <w:r>
        <w:rPr>
          <w:sz w:val="24"/>
        </w:rPr>
        <w:t>, оформляется письменным рапортом военнослужащего, который подшивается в медицинскую книжку (амбулаторную карту, медицинскую карту стационарного больного) военнослужащего.</w:t>
      </w:r>
    </w:p>
    <w:p>
      <w:pPr>
        <w:pStyle w:val="ConsPlusNormal"/>
        <w:spacing w:lineRule="auto" w:line="240" w:before="240" w:after="0"/>
        <w:ind w:firstLine="540"/>
        <w:jc w:val="both"/>
        <w:rPr/>
      </w:pPr>
      <w:r>
        <w:rPr>
          <w:sz w:val="24"/>
        </w:rPr>
        <w:t xml:space="preserve">24. О результатах диспансеризации начальник медицинской службы воинской части (организации) докладывает командиру (начальнику) воинской части (организации), а также направляет в ДМО Росгвардии в течение 10 рабочих дней после окончания диспансеризации сведения о результатах диспансеризации лиц, указанных в </w:t>
      </w:r>
      <w:hyperlink w:anchor="P55" w:tgtFrame="6. Военнослужащие, проходящие военную службу по контракту в центральном аппарате Росгвардии, командиры (начальники) воинских частей (организаций), непосредственно подчиненных директору Федеральной службы войск национальной гвардии Российской Федерации - главнокомандующему войсками национальной гвардии Российской Федерации (далее - директор), а также военнослужащие, проходящие военную службу по контракту в воинских частях (организациях), медицинское обеспечение которых возложено на медицинское подразделен...">
        <w:r>
          <w:rPr>
            <w:rStyle w:val="ListLabel2"/>
            <w:color w:val="0000FF"/>
            <w:sz w:val="24"/>
          </w:rPr>
          <w:t>пункте 6</w:t>
        </w:r>
      </w:hyperlink>
      <w:r>
        <w:rPr>
          <w:sz w:val="24"/>
        </w:rPr>
        <w:t xml:space="preserve"> настоящего Порядка.</w:t>
      </w:r>
    </w:p>
    <w:p>
      <w:pPr>
        <w:pStyle w:val="ConsPlusNormal"/>
        <w:spacing w:lineRule="auto" w:line="240" w:before="240" w:after="0"/>
        <w:ind w:firstLine="540"/>
        <w:jc w:val="both"/>
        <w:rPr/>
      </w:pPr>
      <w:r>
        <w:rPr>
          <w:sz w:val="24"/>
        </w:rPr>
        <w:t xml:space="preserve">25. ДМО Росгвардии обобщает сведения о результатах диспансеризации лиц, указанных в </w:t>
      </w:r>
      <w:hyperlink w:anchor="P55" w:tgtFrame="6. Военнослужащие, проходящие военную службу по контракту в центральном аппарате Росгвардии, командиры (начальники) воинских частей (организаций), непосредственно подчиненных директору Федеральной службы войск национальной гвардии Российской Федерации - главнокомандующему войсками национальной гвардии Российской Федерации (далее - директор), а также военнослужащие, проходящие военную службу по контракту в воинских частях (организациях), медицинское обеспечение которых возложено на медицинское подразделен...">
        <w:r>
          <w:rPr>
            <w:rStyle w:val="ListLabel2"/>
            <w:color w:val="0000FF"/>
            <w:sz w:val="24"/>
          </w:rPr>
          <w:t>пункте 6</w:t>
        </w:r>
      </w:hyperlink>
      <w:r>
        <w:rPr>
          <w:sz w:val="24"/>
        </w:rPr>
        <w:t xml:space="preserve"> настоящего Порядка, и представляет их заместителю директора, ответственному за деятельность ДМО Росгвардии, для последующего доклада директору.</w:t>
      </w:r>
    </w:p>
    <w:p>
      <w:pPr>
        <w:pStyle w:val="ConsPlusNormal"/>
        <w:spacing w:lineRule="auto" w:line="240" w:before="240" w:after="0"/>
        <w:ind w:firstLine="540"/>
        <w:jc w:val="both"/>
        <w:rPr/>
      </w:pPr>
      <w:r>
        <w:rPr>
          <w:sz w:val="24"/>
        </w:rPr>
        <w:t>26. Военнослужащие, у которых в процессе диспансеризации установлены (выявлены) хронические заболевания или имеется высокий риск их развития, выявлены функциональные расстройства, иные состояния,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подлежат диспансерному наблюдению.</w:t>
      </w:r>
    </w:p>
    <w:p>
      <w:pPr>
        <w:pStyle w:val="ConsPlusNormal"/>
        <w:spacing w:lineRule="auto" w:line="240" w:before="240" w:after="0"/>
        <w:ind w:firstLine="540"/>
        <w:jc w:val="both"/>
        <w:rPr/>
      </w:pPr>
      <w:r>
        <w:rPr>
          <w:sz w:val="24"/>
        </w:rPr>
        <w:t>27. Для определения по результатам диспансеризации группы здоровья военнослужащего используются следующие критерии:</w:t>
      </w:r>
    </w:p>
    <w:p>
      <w:pPr>
        <w:pStyle w:val="ConsPlusNormal"/>
        <w:spacing w:lineRule="auto" w:line="240" w:before="240" w:after="0"/>
        <w:ind w:firstLine="540"/>
        <w:jc w:val="both"/>
        <w:rPr/>
      </w:pPr>
      <w:r>
        <w:rPr>
          <w:sz w:val="24"/>
        </w:rPr>
        <w:t>27.1. Военнослужащего, проходящего военную службу по призыву:</w:t>
      </w:r>
    </w:p>
    <w:p>
      <w:pPr>
        <w:pStyle w:val="ConsPlusNormal"/>
        <w:spacing w:lineRule="auto" w:line="240" w:before="240" w:after="0"/>
        <w:ind w:firstLine="540"/>
        <w:jc w:val="both"/>
        <w:rPr/>
      </w:pPr>
      <w:r>
        <w:rPr>
          <w:sz w:val="24"/>
        </w:rPr>
        <w:t>I группа ("здоровые") - военнослужащие, не имеющие заболеваний и недостатков физического развития, в течение года до призыва не обращавшиеся в лечебно-профилактические медицинские организации по поводу состояния здоровья или эпизодически (1 - 2 раза в год) обращавшиеся с кратковременными заболеваниями, последствиями травм, а также имеющие некоторые проявления перенесенных заболеваний, травм и оперативных вмешательств без нарушения функций органов и систем, не влияющих на способность выполнять общие, должностные и специальные обязанности военнослужащих;</w:t>
      </w:r>
    </w:p>
    <w:p>
      <w:pPr>
        <w:pStyle w:val="ConsPlusNormal"/>
        <w:spacing w:lineRule="auto" w:line="240" w:before="240" w:after="0"/>
        <w:ind w:firstLine="540"/>
        <w:jc w:val="both"/>
        <w:rPr/>
      </w:pPr>
      <w:r>
        <w:rPr>
          <w:sz w:val="24"/>
        </w:rPr>
        <w:t>II группа ("практически здоровые") - военнослужащие, перенесшие инфекционные или неинфекционные заболевания, травмы, ранения без нарушения функций органов и систем, имеющие проявления их последствий, сохраняющие способность выполнять общие, должностные и специальные обязанности военнослужащих, военнослужащие с периодическими обострениями заболеваний, военнослужащие, у которых выявлено пониженное питание или ожирение I степени;</w:t>
      </w:r>
    </w:p>
    <w:p>
      <w:pPr>
        <w:pStyle w:val="ConsPlusNormal"/>
        <w:spacing w:lineRule="auto" w:line="240" w:before="240" w:after="0"/>
        <w:ind w:firstLine="540"/>
        <w:jc w:val="both"/>
        <w:rPr/>
      </w:pPr>
      <w:r>
        <w:rPr>
          <w:sz w:val="24"/>
        </w:rPr>
        <w:t>III группа ("имеющие хронические заболевания") - военнослужащие, имеющие хронические заболевания, требующие временного диспансерного наблюдения, а также имеющие недостаточное физическое развитие и (или) недостаточное питание, ожирение II степени.</w:t>
      </w:r>
    </w:p>
    <w:p>
      <w:pPr>
        <w:pStyle w:val="ConsPlusNormal"/>
        <w:spacing w:lineRule="auto" w:line="240" w:before="240" w:after="0"/>
        <w:ind w:firstLine="540"/>
        <w:jc w:val="both"/>
        <w:rPr/>
      </w:pPr>
      <w:r>
        <w:rPr>
          <w:sz w:val="24"/>
        </w:rPr>
        <w:t>27.2. Военнослужащего, проходящего военную службу по контракту:</w:t>
      </w:r>
    </w:p>
    <w:p>
      <w:pPr>
        <w:pStyle w:val="ConsPlusNormal"/>
        <w:spacing w:lineRule="auto" w:line="240" w:before="240" w:after="0"/>
        <w:ind w:firstLine="540"/>
        <w:jc w:val="both"/>
        <w:rPr/>
      </w:pPr>
      <w:r>
        <w:rPr>
          <w:sz w:val="24"/>
        </w:rPr>
        <w:t>I группа ("здоровые") - военнослужащие, не имеющие заболеваний или имеющие некоторые проявления перенесенных заболеваний, травм, оперативных вмешательств без нарушения функций органов и систем, не влияющих на способность выполнять общие, должностные и специальные обязанности военнослужащих, а также военнослужащие, у которых отсутствуют факторы риска развития хронических неинфекционных заболеваний или имеются указанные факторы риска при низком абсолютном сердечно-сосудистом риске и которые не нуждаются в диспансерном наблюдении по поводу других заболеваний (состояний);</w:t>
      </w:r>
    </w:p>
    <w:p>
      <w:pPr>
        <w:pStyle w:val="ConsPlusNormal"/>
        <w:spacing w:lineRule="auto" w:line="240" w:before="240" w:after="0"/>
        <w:ind w:firstLine="540"/>
        <w:jc w:val="both"/>
        <w:rPr/>
      </w:pPr>
      <w:r>
        <w:rPr>
          <w:sz w:val="24"/>
        </w:rPr>
        <w:t>II группа ("практически здоровые") - военнослужащие, перенесшие инфекционные или неинфекционные заболевания, травмы, ранения без нарушения функций органов и систем, имеющие проявления их последствий, сохраняющие способность выполнять общие, должностные и специальные обязанности военнослужащих, военнослужащие с периодическими обострениями заболеваний, с факторами риска возникновения профессиональных заболеваний и военнослужащие, у которых не установлены хронические неинфекционные заболевания, но имеются факторы риска развития таких заболеваний при умеренном, высоком и очень высоком абсолютном сердечно-сосудистом риске, военнослужащие, у которых выявлено ожирение I степени и (или) гиперхолестеринемия с уровнем общего холестерина 8 ммоль/л и более, и (или) курящие более 20 сигарет в день, военнослужащие женского пола с неосложненным течением беременности до 30 недель;</w:t>
      </w:r>
    </w:p>
    <w:p>
      <w:pPr>
        <w:pStyle w:val="ConsPlusNormal"/>
        <w:spacing w:lineRule="auto" w:line="240" w:before="240" w:after="0"/>
        <w:ind w:firstLine="540"/>
        <w:jc w:val="both"/>
        <w:rPr/>
      </w:pPr>
      <w:r>
        <w:rPr>
          <w:sz w:val="24"/>
        </w:rPr>
        <w:t>III группа ("имеющие хронические заболевания") - военнослужащие, имеющие хронические заболевания, подлежащие диспансерному наблюдению, военнослужащие, имеющие хронические заболевания в сочетании с умеренным, высоким и очень высоким сердечно-сосудистым риском, военнослужащие женского пола с осложненным течением беременности независимо от срока гестации, а также находящиеся в отпуске по беременности и родам.</w:t>
      </w:r>
    </w:p>
    <w:p>
      <w:pPr>
        <w:pStyle w:val="ConsPlusNormal"/>
        <w:spacing w:lineRule="auto" w:line="240" w:before="240" w:after="0"/>
        <w:ind w:firstLine="540"/>
        <w:jc w:val="both"/>
        <w:rPr/>
      </w:pPr>
      <w:r>
        <w:rPr>
          <w:sz w:val="24"/>
        </w:rPr>
        <w:t>28. Для оценки по результатам диспансеризации физического развития военнослужащего используются следующие критерии:</w:t>
      </w:r>
    </w:p>
    <w:p>
      <w:pPr>
        <w:pStyle w:val="ConsPlusNormal"/>
        <w:spacing w:lineRule="auto" w:line="240" w:before="240" w:after="0"/>
        <w:ind w:firstLine="540"/>
        <w:jc w:val="both"/>
        <w:rPr/>
      </w:pPr>
      <w:r>
        <w:rPr>
          <w:sz w:val="24"/>
        </w:rPr>
        <w:t>28.1. Хорошее - если масса тела военнослужащего превышает не более чем на 10% верхнюю границу значений массы тела в норме, установленных в таблице 2 приложения N 1 к Положению о военно-врачебной экспертизе, утвержденному постановлением Правительства Российской Федерации от 4 июля 2013 г. N 565 (Собрание законодательства Российской Федерации, 2013, N 28, ст. 3831) (далее - Положение о ВВЭ, табличные значения соответственно).</w:t>
      </w:r>
    </w:p>
    <w:p>
      <w:pPr>
        <w:pStyle w:val="ConsPlusNormal"/>
        <w:spacing w:lineRule="auto" w:line="240" w:before="240" w:after="0"/>
        <w:ind w:firstLine="540"/>
        <w:jc w:val="both"/>
        <w:rPr/>
      </w:pPr>
      <w:r>
        <w:rPr>
          <w:sz w:val="24"/>
        </w:rPr>
        <w:t>28.2. Удовлетворительное - если масса тела военнослужащего не выходит за пределы табличных значений в норме.</w:t>
      </w:r>
    </w:p>
    <w:p>
      <w:pPr>
        <w:pStyle w:val="ConsPlusNormal"/>
        <w:spacing w:lineRule="auto" w:line="240" w:before="240" w:after="0"/>
        <w:ind w:firstLine="540"/>
        <w:jc w:val="both"/>
        <w:rPr/>
      </w:pPr>
      <w:r>
        <w:rPr>
          <w:sz w:val="24"/>
        </w:rPr>
        <w:t>28.3. Недостаточное - если масса тела военнослужащего меньше нижней границы табличных значений в норме.</w:t>
      </w:r>
    </w:p>
    <w:p>
      <w:pPr>
        <w:pStyle w:val="ConsPlusNormal"/>
        <w:spacing w:lineRule="auto" w:line="240" w:before="240" w:after="0"/>
        <w:ind w:firstLine="540"/>
        <w:jc w:val="both"/>
        <w:rPr/>
      </w:pPr>
      <w:r>
        <w:rPr>
          <w:sz w:val="24"/>
        </w:rPr>
        <w:t>29. Оценка состояния питания военнослужащего осуществляется на основании индекса массы тела в зависимости от возраста военнослужащего, установленного в таблице 2 приложения N 1 к Положению о ВВЭ.</w:t>
      </w:r>
    </w:p>
    <w:p>
      <w:pPr>
        <w:pStyle w:val="ConsPlusNormal"/>
        <w:jc w:val="both"/>
        <w:rPr/>
      </w:pPr>
      <w:r>
        <w:rPr/>
      </w:r>
    </w:p>
    <w:p>
      <w:pPr>
        <w:pStyle w:val="ConsPlusTitle"/>
        <w:numPr>
          <w:ilvl w:val="0"/>
          <w:numId w:val="0"/>
        </w:numPr>
        <w:ind w:firstLine="540"/>
        <w:jc w:val="both"/>
        <w:outlineLvl w:val="1"/>
        <w:rPr/>
      </w:pPr>
      <w:r>
        <w:rPr>
          <w:sz w:val="24"/>
        </w:rPr>
        <w:t>III. Прохождение военнослужащими медицинских осмотров</w:t>
      </w:r>
    </w:p>
    <w:p>
      <w:pPr>
        <w:pStyle w:val="ConsPlusNormal"/>
        <w:jc w:val="both"/>
        <w:rPr/>
      </w:pPr>
      <w:r>
        <w:rPr/>
      </w:r>
    </w:p>
    <w:p>
      <w:pPr>
        <w:pStyle w:val="ConsPlusNormal"/>
        <w:ind w:firstLine="540"/>
        <w:jc w:val="both"/>
        <w:rPr/>
      </w:pPr>
      <w:r>
        <w:rPr>
          <w:sz w:val="24"/>
        </w:rPr>
        <w:t>30. Медицинские осмотры военнослужащих представляют собой комплекс медицинских вмешательств, направленных на выявление патологических состояний, заболеваний и факторов риска их развития &lt;1&gt;.</w:t>
      </w:r>
    </w:p>
    <w:p>
      <w:pPr>
        <w:pStyle w:val="ConsPlusNormal"/>
        <w:spacing w:lineRule="auto" w:line="240" w:before="240" w:after="0"/>
        <w:ind w:firstLine="540"/>
        <w:jc w:val="both"/>
        <w:rPr/>
      </w:pPr>
      <w:r>
        <w:rPr>
          <w:sz w:val="24"/>
        </w:rPr>
        <w:t>--------------------------------</w:t>
      </w:r>
    </w:p>
    <w:p>
      <w:pPr>
        <w:pStyle w:val="ConsPlusNormal"/>
        <w:spacing w:lineRule="auto" w:line="240" w:before="240" w:after="0"/>
        <w:ind w:firstLine="540"/>
        <w:jc w:val="both"/>
        <w:rPr/>
      </w:pPr>
      <w:r>
        <w:rPr>
          <w:sz w:val="24"/>
        </w:rPr>
        <w:t>&lt;1&gt; Статья 348.1 Устава внутренней службы.</w:t>
      </w:r>
    </w:p>
    <w:p>
      <w:pPr>
        <w:pStyle w:val="ConsPlusNormal"/>
        <w:jc w:val="both"/>
        <w:rPr/>
      </w:pPr>
      <w:r>
        <w:rPr/>
      </w:r>
    </w:p>
    <w:p>
      <w:pPr>
        <w:pStyle w:val="ConsPlusNormal"/>
        <w:ind w:firstLine="540"/>
        <w:jc w:val="both"/>
        <w:rPr/>
      </w:pPr>
      <w:r>
        <w:rPr>
          <w:sz w:val="24"/>
        </w:rPr>
        <w:t>31. Медицинские осмотры военнослужащих проходят в целях контроля за состоянием их здоровья и своевременного выявления у военнослужащих заболеваний, начальных проявлений профессиональной патологии, травм, признаков неуставных взаимоотношений, расстройств личности, алкогольного опьянения, фактов употребления (злоупотребления) наркотических средств и психотропных веществ, суицидальных намерений, а также оценки эффективности проводимых профилактических и лечебно-оздоровительных мероприятий.</w:t>
      </w:r>
    </w:p>
    <w:p>
      <w:pPr>
        <w:pStyle w:val="ConsPlusNormal"/>
        <w:spacing w:lineRule="auto" w:line="240" w:before="240" w:after="0"/>
        <w:ind w:firstLine="540"/>
        <w:jc w:val="both"/>
        <w:rPr/>
      </w:pPr>
      <w:r>
        <w:rPr>
          <w:sz w:val="24"/>
        </w:rPr>
        <w:t>32. Медицинские осмотры проходят:</w:t>
      </w:r>
    </w:p>
    <w:p>
      <w:pPr>
        <w:pStyle w:val="ConsPlusNormal"/>
        <w:spacing w:lineRule="auto" w:line="240" w:before="240" w:after="0"/>
        <w:ind w:firstLine="540"/>
        <w:jc w:val="both"/>
        <w:rPr/>
      </w:pPr>
      <w:r>
        <w:rPr>
          <w:sz w:val="24"/>
        </w:rPr>
        <w:t>32.1. Все военнослужащие воинской части (организации) - перед проведением профилактических прививок.</w:t>
      </w:r>
    </w:p>
    <w:p>
      <w:pPr>
        <w:pStyle w:val="ConsPlusNormal"/>
        <w:spacing w:lineRule="auto" w:line="240" w:before="240" w:after="0"/>
        <w:ind w:firstLine="540"/>
        <w:jc w:val="both"/>
        <w:rPr/>
      </w:pPr>
      <w:r>
        <w:rPr>
          <w:sz w:val="24"/>
        </w:rPr>
        <w:t>32.2. Все военнослужащие, проходящие военную службу по призыву, - в бане перед помывкой.</w:t>
      </w:r>
    </w:p>
    <w:p>
      <w:pPr>
        <w:pStyle w:val="ConsPlusNormal"/>
        <w:spacing w:lineRule="auto" w:line="240" w:before="240" w:after="0"/>
        <w:ind w:firstLine="540"/>
        <w:jc w:val="both"/>
        <w:rPr/>
      </w:pPr>
      <w:r>
        <w:rPr>
          <w:sz w:val="24"/>
        </w:rPr>
        <w:t>32.3. Личный состав дежурных сил (смен) - перед заступлением на боевое дежурство (боевую службу).</w:t>
      </w:r>
    </w:p>
    <w:p>
      <w:pPr>
        <w:pStyle w:val="ConsPlusNormal"/>
        <w:spacing w:lineRule="auto" w:line="240" w:before="240" w:after="0"/>
        <w:ind w:firstLine="540"/>
        <w:jc w:val="both"/>
        <w:rPr/>
      </w:pPr>
      <w:r>
        <w:rPr>
          <w:sz w:val="24"/>
        </w:rPr>
        <w:t>32.4. Военнослужащие, назначаемые в суточный наряд (заступающие в караул) с оружием, - перед заступлением в суточный наряд (караул).</w:t>
      </w:r>
    </w:p>
    <w:p>
      <w:pPr>
        <w:pStyle w:val="ConsPlusNormal"/>
        <w:spacing w:lineRule="auto" w:line="240" w:before="240" w:after="0"/>
        <w:ind w:firstLine="540"/>
        <w:jc w:val="both"/>
        <w:rPr/>
      </w:pPr>
      <w:r>
        <w:rPr>
          <w:sz w:val="24"/>
        </w:rPr>
        <w:t>32.5. Военнослужащие, служебная деятельность которых связана с возможным воздействием неблагоприятных факторов, а также военнослужащие, находящиеся под диспансерным наблюдением, - в установленные для них сроки.</w:t>
      </w:r>
    </w:p>
    <w:p>
      <w:pPr>
        <w:pStyle w:val="ConsPlusNormal"/>
        <w:spacing w:lineRule="auto" w:line="240" w:before="240" w:after="0"/>
        <w:ind w:firstLine="540"/>
        <w:jc w:val="both"/>
        <w:rPr/>
      </w:pPr>
      <w:r>
        <w:rPr>
          <w:sz w:val="24"/>
        </w:rPr>
        <w:t>32.6. Лица, постоянно работающие в столовых, на продовольственных складах, объектах водоснабжения, в пекарнях, банях, прачечных, и санитары (санитарные инструктора) - один раз в неделю.</w:t>
      </w:r>
    </w:p>
    <w:p>
      <w:pPr>
        <w:pStyle w:val="ConsPlusNormal"/>
        <w:spacing w:lineRule="auto" w:line="240" w:before="240" w:after="0"/>
        <w:ind w:firstLine="540"/>
        <w:jc w:val="both"/>
        <w:rPr/>
      </w:pPr>
      <w:r>
        <w:rPr>
          <w:sz w:val="24"/>
        </w:rPr>
        <w:t>32.7. Личный состав, назначаемый в суточный наряд по столовой, - до развода суточного наряда.</w:t>
      </w:r>
    </w:p>
    <w:p>
      <w:pPr>
        <w:pStyle w:val="ConsPlusNormal"/>
        <w:spacing w:lineRule="auto" w:line="240" w:before="240" w:after="0"/>
        <w:ind w:firstLine="540"/>
        <w:jc w:val="both"/>
        <w:rPr/>
      </w:pPr>
      <w:r>
        <w:rPr>
          <w:sz w:val="24"/>
        </w:rPr>
        <w:t>32.8. Все военнослужащие, вновь прибывшие в воинскую часть (организацию), а также военнослужащие, возвратившиеся из отпуска, командировки и медицинских (военно-медицинских) организаций по выздоровлении, - в день прибытия в воинскую часть (организацию), но до направления их в подразделения воинской части (организации).</w:t>
      </w:r>
    </w:p>
    <w:p>
      <w:pPr>
        <w:pStyle w:val="ConsPlusNormal"/>
        <w:spacing w:lineRule="auto" w:line="240" w:before="240" w:after="0"/>
        <w:ind w:firstLine="540"/>
        <w:jc w:val="both"/>
        <w:rPr/>
      </w:pPr>
      <w:r>
        <w:rPr>
          <w:sz w:val="24"/>
        </w:rPr>
        <w:t>32.9. Водители - перед выездом в рейс и после возвращения из рейса.</w:t>
      </w:r>
    </w:p>
    <w:p>
      <w:pPr>
        <w:pStyle w:val="ConsPlusNormal"/>
        <w:spacing w:lineRule="auto" w:line="240" w:before="240" w:after="0"/>
        <w:ind w:firstLine="540"/>
        <w:jc w:val="both"/>
        <w:rPr/>
      </w:pPr>
      <w:r>
        <w:rPr>
          <w:sz w:val="24"/>
        </w:rPr>
        <w:t>32.10. Участники спортивных состязаний - перед соревнованием.</w:t>
      </w:r>
    </w:p>
    <w:p>
      <w:pPr>
        <w:pStyle w:val="ConsPlusNormal"/>
        <w:spacing w:lineRule="auto" w:line="240" w:before="240" w:after="0"/>
        <w:ind w:firstLine="540"/>
        <w:jc w:val="both"/>
        <w:rPr/>
      </w:pPr>
      <w:r>
        <w:rPr>
          <w:sz w:val="24"/>
        </w:rPr>
        <w:t>32.11. Военнослужащие, подвергнутые дисциплинарному аресту, - перед направлением на гауптвахту, в последующем - в дни помывки в бане.</w:t>
      </w:r>
    </w:p>
    <w:p>
      <w:pPr>
        <w:pStyle w:val="ConsPlusNormal"/>
        <w:spacing w:lineRule="auto" w:line="240" w:before="240" w:after="0"/>
        <w:ind w:firstLine="540"/>
        <w:jc w:val="both"/>
        <w:rPr/>
      </w:pPr>
      <w:r>
        <w:rPr>
          <w:sz w:val="24"/>
        </w:rPr>
        <w:t>32.12. Летный состав - в сроки, установленные требованиями Федеральных авиационных правил медицинского обеспечения полетов.</w:t>
      </w:r>
    </w:p>
    <w:p>
      <w:pPr>
        <w:pStyle w:val="ConsPlusNormal"/>
        <w:spacing w:lineRule="auto" w:line="240" w:before="240" w:after="0"/>
        <w:ind w:firstLine="540"/>
        <w:jc w:val="both"/>
        <w:rPr/>
      </w:pPr>
      <w:r>
        <w:rPr>
          <w:sz w:val="24"/>
        </w:rPr>
        <w:t>32.13. Водолазы - перед каждым водолазным спуском и по окончании его.</w:t>
      </w:r>
    </w:p>
    <w:p>
      <w:pPr>
        <w:pStyle w:val="ConsPlusNormal"/>
        <w:spacing w:lineRule="auto" w:line="240" w:before="240" w:after="0"/>
        <w:ind w:firstLine="540"/>
        <w:jc w:val="both"/>
        <w:rPr/>
      </w:pPr>
      <w:r>
        <w:rPr>
          <w:sz w:val="24"/>
        </w:rPr>
        <w:t>32.14. Военнослужащие экипажей катеров - при выходе катера на выполнение задач (заступление на боевое дежурство).</w:t>
      </w:r>
    </w:p>
    <w:p>
      <w:pPr>
        <w:pStyle w:val="ConsPlusNormal"/>
        <w:spacing w:lineRule="auto" w:line="240" w:before="240" w:after="0"/>
        <w:ind w:firstLine="540"/>
        <w:jc w:val="both"/>
        <w:rPr/>
      </w:pPr>
      <w:r>
        <w:rPr>
          <w:sz w:val="24"/>
        </w:rPr>
        <w:t xml:space="preserve">33. Медицинские осмотры военнослужащие проходят в объеме, установленном </w:t>
      </w:r>
      <w:hyperlink w:anchor="P1767" w:tgtFrame="IV. Перечень исследований, которые проводятся военнослужащим при прохождении ими медицинских осмотров">
        <w:r>
          <w:rPr>
            <w:rStyle w:val="ListLabel2"/>
            <w:color w:val="0000FF"/>
            <w:sz w:val="24"/>
          </w:rPr>
          <w:t>разделом IV</w:t>
        </w:r>
      </w:hyperlink>
      <w:r>
        <w:rPr>
          <w:sz w:val="24"/>
        </w:rPr>
        <w:t xml:space="preserve"> Перечня.</w:t>
      </w:r>
    </w:p>
    <w:p>
      <w:pPr>
        <w:pStyle w:val="ConsPlusNormal"/>
        <w:spacing w:lineRule="auto" w:line="240" w:before="240" w:after="0"/>
        <w:ind w:firstLine="540"/>
        <w:jc w:val="both"/>
        <w:rPr/>
      </w:pPr>
      <w:r>
        <w:rPr>
          <w:sz w:val="24"/>
        </w:rPr>
        <w:t>34. Медицинский осмотр перед проведением профилактических прививок военнослужащие проходят в медицинском подразделении воинской части (организации), на которое возложено медицинское обеспечение военнослужащих, в поликлинике МВД России по месту прикрепления военнослужащего, проходящего военную службу по контракту, на медицинское обеспечение, в целях выявления лиц, которым прививки противопоказаны постоянно или временно.</w:t>
      </w:r>
    </w:p>
    <w:p>
      <w:pPr>
        <w:pStyle w:val="ConsPlusNormal"/>
        <w:spacing w:lineRule="auto" w:line="240" w:before="240" w:after="0"/>
        <w:ind w:firstLine="540"/>
        <w:jc w:val="both"/>
        <w:rPr/>
      </w:pPr>
      <w:r>
        <w:rPr>
          <w:sz w:val="24"/>
        </w:rPr>
        <w:t>Медицинский осмотр проводится врачом (фельдшером).</w:t>
      </w:r>
    </w:p>
    <w:p>
      <w:pPr>
        <w:pStyle w:val="ConsPlusNormal"/>
        <w:spacing w:lineRule="auto" w:line="240" w:before="240" w:after="0"/>
        <w:ind w:firstLine="540"/>
        <w:jc w:val="both"/>
        <w:rPr/>
      </w:pPr>
      <w:r>
        <w:rPr>
          <w:sz w:val="24"/>
        </w:rPr>
        <w:t>Подразделение на медицинский осмотр представляет командир (начальник) подразделения воинской части (организации).</w:t>
      </w:r>
    </w:p>
    <w:p>
      <w:pPr>
        <w:pStyle w:val="ConsPlusNormal"/>
        <w:spacing w:lineRule="auto" w:line="240" w:before="240" w:after="0"/>
        <w:ind w:firstLine="540"/>
        <w:jc w:val="both"/>
        <w:rPr/>
      </w:pPr>
      <w:r>
        <w:rPr>
          <w:sz w:val="24"/>
        </w:rPr>
        <w:t>Перед проведением профилактической прививки военнослужащий оформляет информированное добровольное согласие на медицинское вмешательство (проведение вакцинации).</w:t>
      </w:r>
    </w:p>
    <w:p>
      <w:pPr>
        <w:pStyle w:val="ConsPlusNormal"/>
        <w:spacing w:lineRule="auto" w:line="240" w:before="240" w:after="0"/>
        <w:ind w:firstLine="540"/>
        <w:jc w:val="both"/>
        <w:rPr/>
      </w:pPr>
      <w:r>
        <w:rPr>
          <w:sz w:val="24"/>
        </w:rPr>
        <w:t>Результаты медицинского осмотра заносятся врачом (фельдшером) в медицинскую книжку (амбулаторную карту) военнослужащего.</w:t>
      </w:r>
    </w:p>
    <w:p>
      <w:pPr>
        <w:pStyle w:val="ConsPlusNormal"/>
        <w:spacing w:lineRule="auto" w:line="240" w:before="240" w:after="0"/>
        <w:ind w:firstLine="540"/>
        <w:jc w:val="both"/>
        <w:rPr/>
      </w:pPr>
      <w:r>
        <w:rPr>
          <w:sz w:val="24"/>
        </w:rPr>
        <w:t>По результатам медицинского осмотра врачом (фельдшером) выносится заключение о допуске к вакцинации либо о медицинском отводе от проведения профилактических прививок (постоянно или временно).</w:t>
      </w:r>
    </w:p>
    <w:p>
      <w:pPr>
        <w:pStyle w:val="ConsPlusNormal"/>
        <w:spacing w:lineRule="auto" w:line="240" w:before="240" w:after="0"/>
        <w:ind w:firstLine="540"/>
        <w:jc w:val="both"/>
        <w:rPr/>
      </w:pPr>
      <w:r>
        <w:rPr>
          <w:sz w:val="24"/>
        </w:rPr>
        <w:t>Сведения о проведенных профилактических прививках (дата вакцинации, название вакцины, доза, серия, номер, срок годности, предприятие-изготовитель) вносятся в медицинские книжки (амбулаторные карты) военнослужащих, военные билеты, сертификаты о профилактических прививках и в книгу учета профилактических прививок.</w:t>
      </w:r>
    </w:p>
    <w:p>
      <w:pPr>
        <w:pStyle w:val="ConsPlusNormal"/>
        <w:spacing w:lineRule="auto" w:line="240" w:before="240" w:after="0"/>
        <w:ind w:firstLine="540"/>
        <w:jc w:val="both"/>
        <w:rPr/>
      </w:pPr>
      <w:r>
        <w:rPr>
          <w:sz w:val="24"/>
        </w:rPr>
        <w:t>О военнослужащем, которому по результатам медицинского осмотра вынесено заключение о медицинском отводе от проведения профилактических прививок, врач (фельдшер) воинской части (организации) докладывает начальнику медицинской службы воинской части (организации).</w:t>
      </w:r>
    </w:p>
    <w:p>
      <w:pPr>
        <w:pStyle w:val="ConsPlusNormal"/>
        <w:spacing w:lineRule="auto" w:line="240" w:before="240" w:after="0"/>
        <w:ind w:firstLine="540"/>
        <w:jc w:val="both"/>
        <w:rPr/>
      </w:pPr>
      <w:r>
        <w:rPr>
          <w:sz w:val="24"/>
        </w:rPr>
        <w:t>35. Медицинский осмотр перед помывкой в бане военнослужащие, проходящие военную службу по призыву, проходят в целях своевременного выявления у них признаков заболеваний, травм (гематом, ссадин, прочее), следов инъекций, контроля за соблюдением военнослужащими правил личной гигиены.</w:t>
      </w:r>
    </w:p>
    <w:p>
      <w:pPr>
        <w:pStyle w:val="ConsPlusNormal"/>
        <w:spacing w:lineRule="auto" w:line="240" w:before="240" w:after="0"/>
        <w:ind w:firstLine="540"/>
        <w:jc w:val="both"/>
        <w:rPr/>
      </w:pPr>
      <w:r>
        <w:rPr>
          <w:sz w:val="24"/>
        </w:rPr>
        <w:t>Медицинский осмотр проводится фельдшером (медицинской сестрой) медицинского подразделения воинской части (организации).</w:t>
      </w:r>
    </w:p>
    <w:p>
      <w:pPr>
        <w:pStyle w:val="ConsPlusNormal"/>
        <w:spacing w:lineRule="auto" w:line="240" w:before="240" w:after="0"/>
        <w:ind w:firstLine="540"/>
        <w:jc w:val="both"/>
        <w:rPr/>
      </w:pPr>
      <w:r>
        <w:rPr>
          <w:sz w:val="24"/>
        </w:rPr>
        <w:t>Подразделение на медицинский осмотр представляет старшина подразделения воинской части (организации).</w:t>
      </w:r>
    </w:p>
    <w:p>
      <w:pPr>
        <w:pStyle w:val="ConsPlusNormal"/>
        <w:spacing w:lineRule="auto" w:line="240" w:before="240" w:after="0"/>
        <w:ind w:firstLine="540"/>
        <w:jc w:val="both"/>
        <w:rPr/>
      </w:pPr>
      <w:r>
        <w:rPr>
          <w:sz w:val="24"/>
        </w:rPr>
        <w:t>Результаты медицинского осмотра заносятся фельдшером (медицинской сестрой) в книгу медицинского осмотра личного состава при помывке в бане &lt;1&gt; и книгу учета телесных осмотров в подразделении.</w:t>
      </w:r>
    </w:p>
    <w:p>
      <w:pPr>
        <w:pStyle w:val="ConsPlusNormal"/>
        <w:spacing w:lineRule="auto" w:line="240" w:before="240" w:after="0"/>
        <w:ind w:firstLine="540"/>
        <w:jc w:val="both"/>
        <w:rPr/>
      </w:pPr>
      <w:r>
        <w:rPr>
          <w:sz w:val="24"/>
        </w:rPr>
        <w:t>--------------------------------</w:t>
      </w:r>
    </w:p>
    <w:p>
      <w:pPr>
        <w:pStyle w:val="ConsPlusNormal"/>
        <w:spacing w:lineRule="auto" w:line="240" w:before="240" w:after="0"/>
        <w:ind w:firstLine="540"/>
        <w:jc w:val="both"/>
        <w:rPr/>
      </w:pPr>
      <w:r>
        <w:rPr>
          <w:sz w:val="24"/>
        </w:rPr>
        <w:t>&lt;1&gt; Абзац четвертый статьи 365 Устава внутренней службы.</w:t>
      </w:r>
    </w:p>
    <w:p>
      <w:pPr>
        <w:pStyle w:val="ConsPlusNormal"/>
        <w:jc w:val="both"/>
        <w:rPr/>
      </w:pPr>
      <w:r>
        <w:rPr/>
      </w:r>
    </w:p>
    <w:p>
      <w:pPr>
        <w:pStyle w:val="ConsPlusNormal"/>
        <w:ind w:firstLine="540"/>
        <w:jc w:val="both"/>
        <w:rPr/>
      </w:pPr>
      <w:r>
        <w:rPr>
          <w:sz w:val="24"/>
        </w:rPr>
        <w:t>О военнослужащих, у которых по результатам медицинского осмотра выявлены признаки (симптомы) заболеваний, травм (гематом, ссадин, прочее), следов инъекций, фельдшер (медицинская сестра) докладывает письменно рапортом начальнику медицинской службы воинской части (организации), начальник медицинской службы воинской части (организации) - командиру (начальнику) подразделения воинской части (организации).</w:t>
      </w:r>
    </w:p>
    <w:p>
      <w:pPr>
        <w:pStyle w:val="ConsPlusNormal"/>
        <w:spacing w:lineRule="auto" w:line="240" w:before="240" w:after="0"/>
        <w:ind w:firstLine="540"/>
        <w:jc w:val="both"/>
        <w:rPr/>
      </w:pPr>
      <w:r>
        <w:rPr>
          <w:sz w:val="24"/>
        </w:rPr>
        <w:t>36. Военнослужащие, назначенные в суточный наряд (заступающие в караул) с оружием, личный состав дежурных сил (смен) перед заступлением на боевое дежурство (боевую службу) проходят медицинский осмотр в медицинском подразделении воинской части (организации) в часы, установленные распорядком дня воинской части (организации).</w:t>
      </w:r>
    </w:p>
    <w:p>
      <w:pPr>
        <w:pStyle w:val="ConsPlusNormal"/>
        <w:spacing w:lineRule="auto" w:line="240" w:before="240" w:after="0"/>
        <w:ind w:firstLine="540"/>
        <w:jc w:val="both"/>
        <w:rPr/>
      </w:pPr>
      <w:r>
        <w:rPr>
          <w:sz w:val="24"/>
        </w:rPr>
        <w:t>Медицинский осмотр проводится дежурным врачом (фельдшером, медицинской сестрой).</w:t>
      </w:r>
    </w:p>
    <w:p>
      <w:pPr>
        <w:pStyle w:val="ConsPlusNormal"/>
        <w:spacing w:lineRule="auto" w:line="240" w:before="240" w:after="0"/>
        <w:ind w:firstLine="540"/>
        <w:jc w:val="both"/>
        <w:rPr/>
      </w:pPr>
      <w:r>
        <w:rPr>
          <w:sz w:val="24"/>
        </w:rPr>
        <w:t>Перед проведением медицинского осмотра дежурным врачом (фельдшером, медицинской сестрой) проводится сверка фамилий военнослужащих, заступающих в суточный наряд (караул) с оружием, на боевое дежурство (боевую службу), со списком военнослужащих, находящихся под диспансерным наблюдением по поводу соматических заболеваний и (или) нервно-психической неустойчивости.</w:t>
      </w:r>
    </w:p>
    <w:p>
      <w:pPr>
        <w:pStyle w:val="ConsPlusNormal"/>
        <w:spacing w:lineRule="auto" w:line="240" w:before="240" w:after="0"/>
        <w:ind w:firstLine="540"/>
        <w:jc w:val="both"/>
        <w:rPr/>
      </w:pPr>
      <w:r>
        <w:rPr>
          <w:sz w:val="24"/>
        </w:rPr>
        <w:t>Результаты медицинского осмотра заносятся дежурным врачом (фельдшером, медицинской сестрой) в книгу учета обращений в амбулаторию, книгу учета медицинских осмотров личного состава караулов и медицинскую книжку военнослужащего.</w:t>
      </w:r>
    </w:p>
    <w:p>
      <w:pPr>
        <w:pStyle w:val="ConsPlusNormal"/>
        <w:spacing w:lineRule="auto" w:line="240" w:before="240" w:after="0"/>
        <w:ind w:firstLine="540"/>
        <w:jc w:val="both"/>
        <w:rPr/>
      </w:pPr>
      <w:r>
        <w:rPr>
          <w:sz w:val="24"/>
        </w:rPr>
        <w:t>По результатам медицинского осмотра дежурным врачом (фельдшером, медицинской сестрой) выносится заключение о допуске (недопуске) военнослужащих к заступлению в суточный наряд (караул) с оружием (на боевое дежурство (боевую службу).</w:t>
      </w:r>
    </w:p>
    <w:p>
      <w:pPr>
        <w:pStyle w:val="ConsPlusNormal"/>
        <w:spacing w:lineRule="auto" w:line="240" w:before="240" w:after="0"/>
        <w:ind w:firstLine="540"/>
        <w:jc w:val="both"/>
        <w:rPr/>
      </w:pPr>
      <w:r>
        <w:rPr>
          <w:sz w:val="24"/>
        </w:rPr>
        <w:t>О военнослужащих, не допущенных к несению службы в суточном наряде (карауле) с оружием, к несению боевого дежурства (боевой службы), дежурный врач (фельдшер, медицинская сестра) докладывает начальнику медицинской службы воинской части (организации), начальнику смены (дежурному по караулу) и командиру (начальнику) подразделения воинской части (организации).</w:t>
      </w:r>
    </w:p>
    <w:p>
      <w:pPr>
        <w:pStyle w:val="ConsPlusNormal"/>
        <w:spacing w:lineRule="auto" w:line="240" w:before="240" w:after="0"/>
        <w:ind w:firstLine="540"/>
        <w:jc w:val="both"/>
        <w:rPr/>
      </w:pPr>
      <w:r>
        <w:rPr>
          <w:sz w:val="24"/>
        </w:rPr>
        <w:t>37. Медицинский осмотр военнослужащие, служебная деятельность которых связана с возможным воздействием неблагоприятных факторов, проходят перед сменой в медицинском подразделении воинской части (организации) или по решению старшего начальника - в ином месте в целях выявления у военнослужащих признаков воздействия вредных и (или) опасных производственных факторов, состояний и заболеваний, препятствующих выполнению профессиональных обязанностей.</w:t>
      </w:r>
    </w:p>
    <w:p>
      <w:pPr>
        <w:pStyle w:val="ConsPlusNormal"/>
        <w:spacing w:lineRule="auto" w:line="240" w:before="240" w:after="0"/>
        <w:ind w:firstLine="540"/>
        <w:jc w:val="both"/>
        <w:rPr/>
      </w:pPr>
      <w:r>
        <w:rPr>
          <w:sz w:val="24"/>
        </w:rPr>
        <w:t>Медицинский осмотр проводится дежурным врачом (фельдшером, медицинской сестрой).</w:t>
      </w:r>
    </w:p>
    <w:p>
      <w:pPr>
        <w:pStyle w:val="ConsPlusNormal"/>
        <w:spacing w:lineRule="auto" w:line="240" w:before="240" w:after="0"/>
        <w:ind w:firstLine="540"/>
        <w:jc w:val="both"/>
        <w:rPr/>
      </w:pPr>
      <w:r>
        <w:rPr>
          <w:sz w:val="24"/>
        </w:rPr>
        <w:t>По результатам медицинского осмотра дежурным врачом (фельдшером, медицинской сестрой) выносится заключение о наличии (об отсутствии) у военнослужащего признаков воздействия вредных и (или) опасных производственных факторов, состояний и заболеваний, препятствующих выполнению данного вида работ.</w:t>
      </w:r>
    </w:p>
    <w:p>
      <w:pPr>
        <w:pStyle w:val="ConsPlusNormal"/>
        <w:spacing w:lineRule="auto" w:line="240" w:before="240" w:after="0"/>
        <w:ind w:firstLine="540"/>
        <w:jc w:val="both"/>
        <w:rPr/>
      </w:pPr>
      <w:r>
        <w:rPr>
          <w:sz w:val="24"/>
        </w:rPr>
        <w:t>Результаты медицинского осмотра и заключение о допуске (недопуске) к выполнению данного вида работ заносятся в книгу учета обращений в амбулаторию и медицинскую книжку военнослужащего.</w:t>
      </w:r>
    </w:p>
    <w:p>
      <w:pPr>
        <w:pStyle w:val="ConsPlusNormal"/>
        <w:spacing w:lineRule="auto" w:line="240" w:before="240" w:after="0"/>
        <w:ind w:firstLine="540"/>
        <w:jc w:val="both"/>
        <w:rPr/>
      </w:pPr>
      <w:r>
        <w:rPr>
          <w:sz w:val="24"/>
        </w:rPr>
        <w:t>О военнослужащих, не допущенных к выполнению данного вида работ, дежурный врач (фельдшер, медицинская сестра) докладывает начальнику медицинской службы воинской части (организации), начальнику смены и командиру (начальнику) подразделения воинской части (организации).</w:t>
      </w:r>
    </w:p>
    <w:p>
      <w:pPr>
        <w:pStyle w:val="ConsPlusNormal"/>
        <w:spacing w:lineRule="auto" w:line="240" w:before="240" w:after="0"/>
        <w:ind w:firstLine="540"/>
        <w:jc w:val="both"/>
        <w:rPr/>
      </w:pPr>
      <w:r>
        <w:rPr>
          <w:sz w:val="24"/>
        </w:rPr>
        <w:t>38. Лица, постоянно работающие в столовых, на продовольственных складах, объектах водоснабжения, в пекарнях, банях, прачечных, и санитары (санитарные инструктора) проходят медицинский осмотр в медицинском подразделении воинской части (организации) один раз в неделю в часы, установленные распорядком дня воинской части (организации), в целях выявления у них кожных, венерических, инфекционных и других заболеваний.</w:t>
      </w:r>
    </w:p>
    <w:p>
      <w:pPr>
        <w:pStyle w:val="ConsPlusNormal"/>
        <w:spacing w:lineRule="auto" w:line="240" w:before="240" w:after="0"/>
        <w:ind w:firstLine="540"/>
        <w:jc w:val="both"/>
        <w:rPr/>
      </w:pPr>
      <w:r>
        <w:rPr>
          <w:sz w:val="24"/>
        </w:rPr>
        <w:t>Медицинский осмотр проводится дежурным врачом (фельдшером, медицинской сестрой).</w:t>
      </w:r>
    </w:p>
    <w:p>
      <w:pPr>
        <w:pStyle w:val="ConsPlusNormal"/>
        <w:spacing w:lineRule="auto" w:line="240" w:before="240" w:after="0"/>
        <w:ind w:firstLine="540"/>
        <w:jc w:val="both"/>
        <w:rPr/>
      </w:pPr>
      <w:r>
        <w:rPr>
          <w:sz w:val="24"/>
        </w:rPr>
        <w:t>Своевременную явку на медицинский осмотр лиц, постоянно работающих на объектах питания, водоснабжения, в пекарнях, банях, прачечных, обеспечивает начальник объекта, санитаров (санитарных инструкторов) - командир (начальник) подразделения воинской части (организации).</w:t>
      </w:r>
    </w:p>
    <w:p>
      <w:pPr>
        <w:pStyle w:val="ConsPlusNormal"/>
        <w:spacing w:lineRule="auto" w:line="240" w:before="240" w:after="0"/>
        <w:ind w:firstLine="540"/>
        <w:jc w:val="both"/>
        <w:rPr/>
      </w:pPr>
      <w:r>
        <w:rPr>
          <w:sz w:val="24"/>
        </w:rPr>
        <w:t>Результаты медицинского осмотра и заключение о допуске (недопуске) военнослужащих к работе санитаром (санитарным инструктором), к работе на объектах питания, водоснабжения, в пекарнях, банях, прачечных заносятся дежурным врачом (фельдшером, медицинской сестрой) в книгу учета обращений в амбулаторию и медицинские книжки военнослужащих.</w:t>
      </w:r>
    </w:p>
    <w:p>
      <w:pPr>
        <w:pStyle w:val="ConsPlusNormal"/>
        <w:spacing w:lineRule="auto" w:line="240" w:before="240" w:after="0"/>
        <w:ind w:firstLine="540"/>
        <w:jc w:val="both"/>
        <w:rPr/>
      </w:pPr>
      <w:r>
        <w:rPr>
          <w:sz w:val="24"/>
        </w:rPr>
        <w:t>О военнослужащих, не допущенных к работе санитаром (санитарным инструктором), к работе на объектах питания, водоснабжения, в пекарнях, банях, прачечных, дежурный врач (фельдшер, медицинская сестра) докладывает начальнику медицинской службы воинской части (организации), начальнику объекта и командиру (начальнику) подразделения воинской части (организации).</w:t>
      </w:r>
    </w:p>
    <w:p>
      <w:pPr>
        <w:pStyle w:val="ConsPlusNormal"/>
        <w:spacing w:lineRule="auto" w:line="240" w:before="240" w:after="0"/>
        <w:ind w:firstLine="540"/>
        <w:jc w:val="both"/>
        <w:rPr/>
      </w:pPr>
      <w:r>
        <w:rPr>
          <w:sz w:val="24"/>
        </w:rPr>
        <w:t>39. Медицинские осмотры военнослужащие, заступающие в суточный наряд по столовой, проходят в медицинском подразделении воинской части (организации) в часы, установленные распорядком дня воинской части (организации), в целях выявления у них гнойничковых заболеваний кожи (пиодермий), инфекционных, венерических и других заболеваний.</w:t>
      </w:r>
    </w:p>
    <w:p>
      <w:pPr>
        <w:pStyle w:val="ConsPlusNormal"/>
        <w:spacing w:lineRule="auto" w:line="240" w:before="240" w:after="0"/>
        <w:ind w:firstLine="540"/>
        <w:jc w:val="both"/>
        <w:rPr/>
      </w:pPr>
      <w:r>
        <w:rPr>
          <w:sz w:val="24"/>
        </w:rPr>
        <w:t>В медицинское подразделение воинской части (организации) военнослужащих, заступающих в наряд по столовой, представляет заступающий дежурный по столовой &lt;1&gt;.</w:t>
      </w:r>
    </w:p>
    <w:p>
      <w:pPr>
        <w:pStyle w:val="ConsPlusNormal"/>
        <w:spacing w:lineRule="auto" w:line="240" w:before="240" w:after="0"/>
        <w:ind w:firstLine="540"/>
        <w:jc w:val="both"/>
        <w:rPr/>
      </w:pPr>
      <w:r>
        <w:rPr>
          <w:sz w:val="24"/>
        </w:rPr>
        <w:t>--------------------------------</w:t>
      </w:r>
    </w:p>
    <w:p>
      <w:pPr>
        <w:pStyle w:val="ConsPlusNormal"/>
        <w:spacing w:lineRule="auto" w:line="240" w:before="240" w:after="0"/>
        <w:ind w:firstLine="540"/>
        <w:jc w:val="both"/>
        <w:rPr/>
      </w:pPr>
      <w:r>
        <w:rPr>
          <w:sz w:val="24"/>
        </w:rPr>
        <w:t>&lt;1&gt; Абзац второй статьи 307 Устава внутренней службы.</w:t>
      </w:r>
    </w:p>
    <w:p>
      <w:pPr>
        <w:pStyle w:val="ConsPlusNormal"/>
        <w:jc w:val="both"/>
        <w:rPr/>
      </w:pPr>
      <w:r>
        <w:rPr/>
      </w:r>
    </w:p>
    <w:p>
      <w:pPr>
        <w:pStyle w:val="ConsPlusNormal"/>
        <w:ind w:firstLine="540"/>
        <w:jc w:val="both"/>
        <w:rPr/>
      </w:pPr>
      <w:r>
        <w:rPr>
          <w:sz w:val="24"/>
        </w:rPr>
        <w:t>Медицинский осмотр проводится дежурным врачом (фельдшером, медицинской сестрой).</w:t>
      </w:r>
    </w:p>
    <w:p>
      <w:pPr>
        <w:pStyle w:val="ConsPlusNormal"/>
        <w:spacing w:lineRule="auto" w:line="240" w:before="240" w:after="0"/>
        <w:ind w:firstLine="540"/>
        <w:jc w:val="both"/>
        <w:rPr/>
      </w:pPr>
      <w:r>
        <w:rPr>
          <w:sz w:val="24"/>
        </w:rPr>
        <w:t>Результаты медицинского осмотра и заключение о допуске (недопуске) к работе в столовой заносятся дежурным врачом (фельдшером, медицинской сестрой) в книгу учета обращений в амбулаторию и журнал медицинского осмотра наряда по столовой.</w:t>
      </w:r>
    </w:p>
    <w:p>
      <w:pPr>
        <w:pStyle w:val="ConsPlusNormal"/>
        <w:spacing w:lineRule="auto" w:line="240" w:before="240" w:after="0"/>
        <w:ind w:firstLine="540"/>
        <w:jc w:val="both"/>
        <w:rPr/>
      </w:pPr>
      <w:r>
        <w:rPr>
          <w:sz w:val="24"/>
        </w:rPr>
        <w:t>О военнослужащих, не допущенных к несению суточного наряда по столовой, дежурный врач (фельдшер, медицинская сестра) докладывает командиру (начальнику) подразделения воинской части (организации).</w:t>
      </w:r>
    </w:p>
    <w:p>
      <w:pPr>
        <w:pStyle w:val="ConsPlusNormal"/>
        <w:spacing w:lineRule="auto" w:line="240" w:before="240" w:after="0"/>
        <w:ind w:firstLine="540"/>
        <w:jc w:val="both"/>
        <w:rPr/>
      </w:pPr>
      <w:r>
        <w:rPr>
          <w:sz w:val="24"/>
        </w:rPr>
        <w:t>40. Медицинский осмотр военнослужащие, вновь прибывшие в воинскую часть (организацию), а также военнослужащие, возвратившиеся из отпуска, командировки и медицинских (военно-медицинских) организаций по выздоровлении, проходят в медицинском подразделении воинской части (организации) в день прибытия военнослужащих в воинскую часть (организацию), но до прибытия их в подразделение в целях выявления острых инфекционных и соматических заболеваний.</w:t>
      </w:r>
    </w:p>
    <w:p>
      <w:pPr>
        <w:pStyle w:val="ConsPlusNormal"/>
        <w:spacing w:lineRule="auto" w:line="240" w:before="240" w:after="0"/>
        <w:ind w:firstLine="540"/>
        <w:jc w:val="both"/>
        <w:rPr/>
      </w:pPr>
      <w:r>
        <w:rPr>
          <w:sz w:val="24"/>
        </w:rPr>
        <w:t>Медицинский осмотр проводится дежурным врачом (фельдшером, медицинской сестрой).</w:t>
      </w:r>
    </w:p>
    <w:p>
      <w:pPr>
        <w:pStyle w:val="ConsPlusNormal"/>
        <w:spacing w:lineRule="auto" w:line="240" w:before="240" w:after="0"/>
        <w:ind w:firstLine="540"/>
        <w:jc w:val="both"/>
        <w:rPr/>
      </w:pPr>
      <w:r>
        <w:rPr>
          <w:sz w:val="24"/>
        </w:rPr>
        <w:t>Результаты медицинского осмотра заносятся дежурным врачом (фельдшером, медицинской сестрой) в книгу учета обращений в амбулаторию.</w:t>
      </w:r>
    </w:p>
    <w:p>
      <w:pPr>
        <w:pStyle w:val="ConsPlusNormal"/>
        <w:spacing w:lineRule="auto" w:line="240" w:before="240" w:after="0"/>
        <w:ind w:firstLine="540"/>
        <w:jc w:val="both"/>
        <w:rPr/>
      </w:pPr>
      <w:r>
        <w:rPr>
          <w:sz w:val="24"/>
        </w:rPr>
        <w:t>Здоровые военнослужащие убывают в подразделения воинской части (организации), в которых проходят военную службу.</w:t>
      </w:r>
    </w:p>
    <w:p>
      <w:pPr>
        <w:pStyle w:val="ConsPlusNormal"/>
        <w:spacing w:lineRule="auto" w:line="240" w:before="240" w:after="0"/>
        <w:ind w:firstLine="540"/>
        <w:jc w:val="both"/>
        <w:rPr/>
      </w:pPr>
      <w:r>
        <w:rPr>
          <w:sz w:val="24"/>
        </w:rPr>
        <w:t>Военнослужащим с признаками заболевания проводится экспертиза временной нетрудоспособности.</w:t>
      </w:r>
    </w:p>
    <w:p>
      <w:pPr>
        <w:pStyle w:val="ConsPlusNormal"/>
        <w:spacing w:lineRule="auto" w:line="240" w:before="240" w:after="0"/>
        <w:ind w:firstLine="540"/>
        <w:jc w:val="both"/>
        <w:rPr/>
      </w:pPr>
      <w:r>
        <w:rPr>
          <w:sz w:val="24"/>
        </w:rPr>
        <w:t>41. Водители перед выездом в рейс и по окончании рабочего дня (рейса) проходят предрейсовые и послерейсовые медицинские осмотры в целях выявления признаков воздействия вредных и (или) опасных производственных факторов рабочей среды и трудового процесса на состояние здоровья водителей, состояний и заболеваний, препятствующих выполнению должностных (профессиональных) обязанностей, в том числе признаков алкогольного, наркотического или иного токсического опьянения и остаточных явлений такого опьянения.</w:t>
      </w:r>
    </w:p>
    <w:p>
      <w:pPr>
        <w:pStyle w:val="ConsPlusNormal"/>
        <w:spacing w:lineRule="auto" w:line="240" w:before="240" w:after="0"/>
        <w:ind w:firstLine="540"/>
        <w:jc w:val="both"/>
        <w:rPr/>
      </w:pPr>
      <w:r>
        <w:rPr>
          <w:sz w:val="24"/>
        </w:rPr>
        <w:t>Предрейсовые (послерейсовые) медицинские осмотры водители проходят в медицинском подразделении воинской части (организации) по месту прохождения военной службы.</w:t>
      </w:r>
    </w:p>
    <w:p>
      <w:pPr>
        <w:pStyle w:val="ConsPlusNormal"/>
        <w:spacing w:lineRule="auto" w:line="240" w:before="240" w:after="0"/>
        <w:ind w:firstLine="540"/>
        <w:jc w:val="both"/>
        <w:rPr/>
      </w:pPr>
      <w:r>
        <w:rPr>
          <w:sz w:val="24"/>
        </w:rPr>
        <w:t>Предрейсовые (послерейсовые) медицинские осмотры проводятся дежурным врачом (фельдшером, медицинской сестрой), прошедшим обучение по программе подготовки медицинского персонала по вопросам проведения предрейсовых, послерейсовых и текущих медицинских осмотров водителей транспортных средств.</w:t>
      </w:r>
    </w:p>
    <w:p>
      <w:pPr>
        <w:pStyle w:val="ConsPlusNormal"/>
        <w:spacing w:lineRule="auto" w:line="240" w:before="240" w:after="0"/>
        <w:ind w:firstLine="540"/>
        <w:jc w:val="both"/>
        <w:rPr/>
      </w:pPr>
      <w:r>
        <w:rPr>
          <w:sz w:val="24"/>
        </w:rPr>
        <w:t>При отсутствии в штате (штатном расписании) воинской части (организации) медицинских работников предрейсовые (послерейсовые) медицинские осмотры водителям проводятся медицинским работником (врачом, фельдшером или медицинской сестрой) ближайшей воинской части (организации).</w:t>
      </w:r>
    </w:p>
    <w:p>
      <w:pPr>
        <w:pStyle w:val="ConsPlusNormal"/>
        <w:spacing w:lineRule="auto" w:line="240" w:before="240" w:after="0"/>
        <w:ind w:firstLine="540"/>
        <w:jc w:val="both"/>
        <w:rPr/>
      </w:pPr>
      <w:r>
        <w:rPr>
          <w:sz w:val="24"/>
        </w:rPr>
        <w:t>Водитель прибывает для прохождения предрейсового (послерейсового) медицинского осмотра с документом, удостоверяющим личность, и путевым листом.</w:t>
      </w:r>
    </w:p>
    <w:p>
      <w:pPr>
        <w:pStyle w:val="ConsPlusNormal"/>
        <w:spacing w:lineRule="auto" w:line="240" w:before="240" w:after="0"/>
        <w:ind w:firstLine="540"/>
        <w:jc w:val="both"/>
        <w:rPr/>
      </w:pPr>
      <w:r>
        <w:rPr>
          <w:sz w:val="24"/>
        </w:rPr>
        <w:t>В случае регистрации у водителя при прохождении предрейсового (послерейсового) медицинского осмотра отклонения величины артериального давления или частоты пульса проводится повторное их исследование (не более двух раз с интервалом не менее 20 минут).</w:t>
      </w:r>
    </w:p>
    <w:p>
      <w:pPr>
        <w:pStyle w:val="ConsPlusNormal"/>
        <w:spacing w:lineRule="auto" w:line="240" w:before="240" w:after="0"/>
        <w:ind w:firstLine="540"/>
        <w:jc w:val="both"/>
        <w:rPr/>
      </w:pPr>
      <w:r>
        <w:rPr>
          <w:sz w:val="24"/>
        </w:rPr>
        <w:t>По результатам прохождения водителем предрейсового (послерейсового) медицинского осмотра медицинским работником, проводившим медицинский осмотр, выносится заключение:</w:t>
      </w:r>
      <w:bookmarkStart w:id="7" w:name="P186"/>
    </w:p>
    <w:p>
      <w:pPr>
        <w:pStyle w:val="ConsPlusNormal"/>
        <w:spacing w:lineRule="auto" w:line="240" w:before="240" w:after="0"/>
        <w:ind w:firstLine="540"/>
        <w:jc w:val="both"/>
        <w:rPr/>
      </w:pPr>
      <w:bookmarkEnd w:id="7"/>
      <w:r>
        <w:rPr>
          <w:sz w:val="24"/>
        </w:rPr>
        <w:t>о наличии признаков воздействия вредных и (или) опасных производственных факторов, состояний и заболеваний, препятствующих управлению транспортным средством, в том числе алкогольного, наркотического или иного токсического опьянения и остаточных явлений такого опьянения (с указанием этих признаков);</w:t>
      </w:r>
      <w:bookmarkStart w:id="8" w:name="P187"/>
    </w:p>
    <w:p>
      <w:pPr>
        <w:pStyle w:val="ConsPlusNormal"/>
        <w:spacing w:lineRule="auto" w:line="240" w:before="240" w:after="0"/>
        <w:ind w:firstLine="540"/>
        <w:jc w:val="both"/>
        <w:rPr/>
      </w:pPr>
      <w:bookmarkEnd w:id="8"/>
      <w:r>
        <w:rPr>
          <w:sz w:val="24"/>
        </w:rPr>
        <w:t>об отсутствии признаков воздействия вредных и (или) опасных производственных факторов, состояний и заболеваний, препятствующих управлению транспортным средством, в том числе алкогольного, наркотического или иного токсического опьянения и остаточных явлений такого опьянения.</w:t>
      </w:r>
    </w:p>
    <w:p>
      <w:pPr>
        <w:pStyle w:val="ConsPlusNormal"/>
        <w:spacing w:lineRule="auto" w:line="240" w:before="240" w:after="0"/>
        <w:ind w:firstLine="540"/>
        <w:jc w:val="both"/>
        <w:rPr/>
      </w:pPr>
      <w:r>
        <w:rPr>
          <w:sz w:val="24"/>
        </w:rPr>
        <w:t xml:space="preserve">В случае проведения предрейсового (послерейсового) медицинского осмотра фельдшером (медицинской сестрой), при выявлении нарушений в состоянии здоровья водителя для вынесения заключений, указанных в </w:t>
      </w:r>
      <w:hyperlink w:anchor="P186" w:tgtFrame="о наличии признаков воздействия вредных и (или) опасных производственных факторов, состояний и заболеваний, препятствующих управлению транспортным средством, в том числе алкогольного, наркотического или иного токсического опьянения и остаточных явлений такого опьянения (с указанием этих признаков);">
        <w:r>
          <w:rPr>
            <w:rStyle w:val="ListLabel2"/>
            <w:color w:val="0000FF"/>
            <w:sz w:val="24"/>
          </w:rPr>
          <w:t>абзаце восьмом</w:t>
        </w:r>
      </w:hyperlink>
      <w:r>
        <w:rPr>
          <w:sz w:val="24"/>
        </w:rPr>
        <w:t xml:space="preserve"> настоящего пункта, а также решения вопроса о наличии у водителя признаков временной нетрудоспособности и нуждаемости в оказании медицинской помощи, водитель направляется к дежурному врачу медицинского подразделения воинской части (организации) либо в медицинскую воинскую часть, медицинскую организацию войск национальной гвардии, поликлинику МВД России.</w:t>
      </w:r>
    </w:p>
    <w:p>
      <w:pPr>
        <w:pStyle w:val="ConsPlusNormal"/>
        <w:spacing w:lineRule="auto" w:line="240" w:before="240" w:after="0"/>
        <w:ind w:firstLine="540"/>
        <w:jc w:val="both"/>
        <w:rPr/>
      </w:pPr>
      <w:r>
        <w:rPr>
          <w:sz w:val="24"/>
        </w:rPr>
        <w:t>Результаты проведенных предрейсовых (послерейсовых) медицинских осмотров заносятся дежурным врачом (фельдшером, медицинской сестрой) в книгу учета предрейсовых (послерейсовых) медицинских осмотров водителей.</w:t>
      </w:r>
    </w:p>
    <w:p>
      <w:pPr>
        <w:pStyle w:val="ConsPlusNormal"/>
        <w:spacing w:lineRule="auto" w:line="240" w:before="240" w:after="0"/>
        <w:ind w:firstLine="540"/>
        <w:jc w:val="both"/>
        <w:rPr/>
      </w:pPr>
      <w:r>
        <w:rPr>
          <w:sz w:val="24"/>
        </w:rPr>
        <w:t>По результатам прохождения водителем предрейсового медицинского осмотра на путевых листах ставятся штамп "Прошел предрейсовый медицинский осмотр, к управлению транспортным средством допущен" и подпись медицинского работника, проводившего медицинский осмотр.</w:t>
      </w:r>
    </w:p>
    <w:p>
      <w:pPr>
        <w:pStyle w:val="ConsPlusNormal"/>
        <w:spacing w:lineRule="auto" w:line="240" w:before="240" w:after="0"/>
        <w:ind w:firstLine="540"/>
        <w:jc w:val="both"/>
        <w:rPr/>
      </w:pPr>
      <w:r>
        <w:rPr>
          <w:sz w:val="24"/>
        </w:rPr>
        <w:t>По результатам послерейсового медицинского осмотра на путевых листах ставятся штамп "Прошел послерейсовый медицинский осмотр" и подпись медицинского работника, проводившего медицинский осмотр.</w:t>
      </w:r>
    </w:p>
    <w:p>
      <w:pPr>
        <w:pStyle w:val="ConsPlusNormal"/>
        <w:spacing w:lineRule="auto" w:line="240" w:before="240" w:after="0"/>
        <w:ind w:firstLine="540"/>
        <w:jc w:val="both"/>
        <w:rPr/>
      </w:pPr>
      <w:r>
        <w:rPr>
          <w:sz w:val="24"/>
        </w:rPr>
        <w:t>При наличии у водителя признаков временной нетрудоспособности, алкогольного, наркотического или иного токсического опьянения, остаточных явлений такого опьянения медицинский работник, проводивший предрейсовый (послерейсовый) медицинский осмотр, докладывает об этом начальнику медицинской службы воинской части (организации) и командиру (начальнику) водителя.</w:t>
      </w:r>
    </w:p>
    <w:p>
      <w:pPr>
        <w:pStyle w:val="ConsPlusNormal"/>
        <w:spacing w:lineRule="auto" w:line="240" w:before="240" w:after="0"/>
        <w:ind w:firstLine="540"/>
        <w:jc w:val="both"/>
        <w:rPr/>
      </w:pPr>
      <w:r>
        <w:rPr>
          <w:sz w:val="24"/>
        </w:rPr>
        <w:t>42. Медицинский осмотр военнослужащие из числа участников спортивных состязаний перед соревнованием проходят в медицинском подразделении воинской части (организации).</w:t>
      </w:r>
    </w:p>
    <w:p>
      <w:pPr>
        <w:pStyle w:val="ConsPlusNormal"/>
        <w:spacing w:lineRule="auto" w:line="240" w:before="240" w:after="0"/>
        <w:ind w:firstLine="540"/>
        <w:jc w:val="both"/>
        <w:rPr/>
      </w:pPr>
      <w:r>
        <w:rPr>
          <w:sz w:val="24"/>
        </w:rPr>
        <w:t>Медицинский осмотр проводится врачом (фельдшером).</w:t>
      </w:r>
    </w:p>
    <w:p>
      <w:pPr>
        <w:pStyle w:val="ConsPlusNormal"/>
        <w:spacing w:lineRule="auto" w:line="240" w:before="240" w:after="0"/>
        <w:ind w:firstLine="540"/>
        <w:jc w:val="both"/>
        <w:rPr/>
      </w:pPr>
      <w:r>
        <w:rPr>
          <w:sz w:val="24"/>
        </w:rPr>
        <w:t>Допуск военнослужащих к спортивным состязаниям перед соревнованием осуществляется по результатам диспансеризации при отсутствии жалоб на состояние здоровья и (или) признаков заболеваний.</w:t>
      </w:r>
    </w:p>
    <w:p>
      <w:pPr>
        <w:pStyle w:val="ConsPlusNormal"/>
        <w:spacing w:lineRule="auto" w:line="240" w:before="240" w:after="0"/>
        <w:ind w:firstLine="540"/>
        <w:jc w:val="both"/>
        <w:rPr/>
      </w:pPr>
      <w:r>
        <w:rPr>
          <w:sz w:val="24"/>
        </w:rPr>
        <w:t>Результаты медицинского осмотра вносятся врачом (фельдшером) в медицинскую книжку военнослужащего и книгу учета обращений в амбулаторию.</w:t>
      </w:r>
    </w:p>
    <w:p>
      <w:pPr>
        <w:pStyle w:val="ConsPlusNormal"/>
        <w:spacing w:lineRule="auto" w:line="240" w:before="240" w:after="0"/>
        <w:ind w:firstLine="540"/>
        <w:jc w:val="both"/>
        <w:rPr/>
      </w:pPr>
      <w:r>
        <w:rPr>
          <w:sz w:val="24"/>
        </w:rPr>
        <w:t>Заключение врача (фельдшера) о допуске (недопуске) военнослужащих к спортивным состязаниям оформляется в заявке на участие военнослужащих в спортивных состязаниях.</w:t>
      </w:r>
    </w:p>
    <w:p>
      <w:pPr>
        <w:pStyle w:val="ConsPlusNormal"/>
        <w:spacing w:lineRule="auto" w:line="240" w:before="240" w:after="0"/>
        <w:ind w:firstLine="540"/>
        <w:jc w:val="both"/>
        <w:rPr/>
      </w:pPr>
      <w:r>
        <w:rPr>
          <w:sz w:val="24"/>
        </w:rPr>
        <w:t>43. Медицинский осмотр военнослужащие, подвергнутые дисциплинарному аресту, перед направлением на гауптвахту проходят в медицинском подразделении воинской части (организации) по месту прохождения военной службы в целях выявления больных, нуждающихся в оказании медицинской помощи, лиц, находящихся в состоянии опьянения, а также выявления наличия телесных повреждений.</w:t>
      </w:r>
    </w:p>
    <w:p>
      <w:pPr>
        <w:pStyle w:val="ConsPlusNormal"/>
        <w:spacing w:lineRule="auto" w:line="240" w:before="240" w:after="0"/>
        <w:ind w:firstLine="540"/>
        <w:jc w:val="both"/>
        <w:rPr/>
      </w:pPr>
      <w:r>
        <w:rPr>
          <w:sz w:val="24"/>
        </w:rPr>
        <w:t>Медицинский осмотр военнослужащих, подвергнутых дисциплинарному аресту, перед направлением на гауптвахту проводится врачом (фельдшером).</w:t>
      </w:r>
    </w:p>
    <w:p>
      <w:pPr>
        <w:pStyle w:val="ConsPlusNormal"/>
        <w:spacing w:lineRule="auto" w:line="240" w:before="240" w:after="0"/>
        <w:ind w:firstLine="540"/>
        <w:jc w:val="both"/>
        <w:rPr/>
      </w:pPr>
      <w:r>
        <w:rPr>
          <w:sz w:val="24"/>
        </w:rPr>
        <w:t>Результаты медицинского осмотра вносятся врачом (фельдшером) в медицинскую книжку военнослужащего и книгу учета обращений в амбулаторию.</w:t>
      </w:r>
    </w:p>
    <w:p>
      <w:pPr>
        <w:pStyle w:val="ConsPlusNormal"/>
        <w:spacing w:lineRule="auto" w:line="240" w:before="240" w:after="0"/>
        <w:ind w:firstLine="540"/>
        <w:jc w:val="both"/>
        <w:rPr/>
      </w:pPr>
      <w:r>
        <w:rPr>
          <w:sz w:val="24"/>
        </w:rPr>
        <w:t>Военнослужащие, подвергнутые дисциплинарному аресту, в период нахождения на гауптвахте один раз в неделю перед помывкой в бане проходят медицинский осмотр в соответствии с абзацами первым и вторым пункта 23 приложения N 4 к Уставу военной полиции Вооруженных Сил Российской Федерации и внесении изменений в некоторые акты Президента Российской Федерации, утвержденному Указом Президента Российской Федерации от 25 марта 2015 г. N 161 (Собрание законодательства Российской Федерации, 2015, N 13, ст. 1909; 2017, N 21, ст. 2988).</w:t>
      </w:r>
    </w:p>
    <w:p>
      <w:pPr>
        <w:pStyle w:val="ConsPlusNormal"/>
        <w:spacing w:lineRule="auto" w:line="240" w:before="240" w:after="0"/>
        <w:ind w:firstLine="540"/>
        <w:jc w:val="both"/>
        <w:rPr/>
      </w:pPr>
      <w:r>
        <w:rPr>
          <w:sz w:val="24"/>
        </w:rPr>
        <w:t>44. Медицинский осмотр летный состав авиационных воинских частей (подразделений) войск национальной гвардии проходит в соответствии с требованиями Федеральных авиационных правил медицинского обеспечения полетов.</w:t>
      </w:r>
    </w:p>
    <w:p>
      <w:pPr>
        <w:pStyle w:val="ConsPlusNormal"/>
        <w:spacing w:lineRule="auto" w:line="240" w:before="240" w:after="0"/>
        <w:ind w:firstLine="540"/>
        <w:jc w:val="both"/>
        <w:rPr/>
      </w:pPr>
      <w:r>
        <w:rPr>
          <w:sz w:val="24"/>
        </w:rPr>
        <w:t>45. Медицинский осмотр военнослужащих из числа личного состава экипажей катеров воинских частей (подразделений) войск национальной гвардии проводится врачом (фельдшером, медицинской сестрой) медицинского подразделения воинской части (подразделения) войск национальной гвардии, а при отсутствии в штате (штатном расписании) воинской части (подразделении) войск национальной гвардии медицинских работников - медицинским работником ближайшей воинской части (организации).</w:t>
      </w:r>
    </w:p>
    <w:p>
      <w:pPr>
        <w:pStyle w:val="ConsPlusNormal"/>
        <w:spacing w:lineRule="auto" w:line="240" w:before="240" w:after="0"/>
        <w:ind w:firstLine="540"/>
        <w:jc w:val="both"/>
        <w:rPr/>
      </w:pPr>
      <w:r>
        <w:rPr>
          <w:sz w:val="24"/>
        </w:rPr>
        <w:t>Медицинский осмотр военнослужащие проходят:</w:t>
      </w:r>
    </w:p>
    <w:p>
      <w:pPr>
        <w:pStyle w:val="ConsPlusNormal"/>
        <w:spacing w:lineRule="auto" w:line="240" w:before="240" w:after="0"/>
        <w:ind w:firstLine="540"/>
        <w:jc w:val="both"/>
        <w:rPr/>
      </w:pPr>
      <w:r>
        <w:rPr>
          <w:sz w:val="24"/>
        </w:rPr>
        <w:t>при выходе катера на выполнение задач (заступление на боевое дежурство) сроком до 1 суток - непосредственно перед выходом катера на выполнение задач (заступлением на боевое дежурство);</w:t>
      </w:r>
    </w:p>
    <w:p>
      <w:pPr>
        <w:pStyle w:val="ConsPlusNormal"/>
        <w:spacing w:lineRule="auto" w:line="240" w:before="240" w:after="0"/>
        <w:ind w:firstLine="540"/>
        <w:jc w:val="both"/>
        <w:rPr/>
      </w:pPr>
      <w:r>
        <w:rPr>
          <w:sz w:val="24"/>
        </w:rPr>
        <w:t>при выходе катера на выполнение задач (заступление на боевое дежурство) сроком более 1 суток - непосредственно перед выходом катера на выполнение задач (заступлением на боевое дежурство), а также ежедневно утром и при выходе катера из временного пункта дислокации на выполнение задач.</w:t>
      </w:r>
    </w:p>
    <w:p>
      <w:pPr>
        <w:pStyle w:val="ConsPlusNormal"/>
        <w:spacing w:lineRule="auto" w:line="240" w:before="240" w:after="0"/>
        <w:ind w:firstLine="540"/>
        <w:jc w:val="both"/>
        <w:rPr/>
      </w:pPr>
      <w:r>
        <w:rPr>
          <w:sz w:val="24"/>
        </w:rPr>
        <w:t>В случае регистрации у военнослужащего при прохождении медицинского осмотра отклонения величины артериального давления или частоты пульса проводится повторное исследование (не более двух раз с интервалом не менее 20 минут).</w:t>
      </w:r>
    </w:p>
    <w:p>
      <w:pPr>
        <w:pStyle w:val="ConsPlusNormal"/>
        <w:spacing w:lineRule="auto" w:line="240" w:before="240" w:after="0"/>
        <w:ind w:firstLine="540"/>
        <w:jc w:val="both"/>
        <w:rPr/>
      </w:pPr>
      <w:r>
        <w:rPr>
          <w:sz w:val="24"/>
        </w:rPr>
        <w:t xml:space="preserve">По результатам прохождения медицинского осмотра врачом (фельдшером, медицинской сестрой) выносится заключение в соответствии с </w:t>
      </w:r>
      <w:hyperlink w:anchor="P186" w:tgtFrame="о наличии признаков воздействия вредных и (или) опасных производственных факторов, состояний и заболеваний, препятствующих управлению транспортным средством, в том числе алкогольного, наркотического или иного токсического опьянения и остаточных явлений такого опьянения (с указанием этих признаков);">
        <w:r>
          <w:rPr>
            <w:rStyle w:val="ListLabel2"/>
            <w:color w:val="0000FF"/>
            <w:sz w:val="24"/>
          </w:rPr>
          <w:t>абзацами восьмым</w:t>
        </w:r>
      </w:hyperlink>
      <w:r>
        <w:rPr>
          <w:sz w:val="24"/>
        </w:rPr>
        <w:t xml:space="preserve"> и </w:t>
      </w:r>
      <w:hyperlink w:anchor="P187" w:tgtFrame="об отсутствии признаков воздействия вредных и (или) опасных производственных факторов, состояний и заболеваний, препятствующих управлению транспортным средством, в том числе алкогольного, наркотического или иного токсического опьянения и остаточных явлений такого опьянения.">
        <w:r>
          <w:rPr>
            <w:rStyle w:val="ListLabel2"/>
            <w:color w:val="0000FF"/>
            <w:sz w:val="24"/>
          </w:rPr>
          <w:t>девятым пункта 41</w:t>
        </w:r>
      </w:hyperlink>
      <w:r>
        <w:rPr>
          <w:sz w:val="24"/>
        </w:rPr>
        <w:t xml:space="preserve"> настоящего Порядка.</w:t>
      </w:r>
    </w:p>
    <w:p>
      <w:pPr>
        <w:pStyle w:val="ConsPlusNormal"/>
        <w:spacing w:lineRule="auto" w:line="240" w:before="240" w:after="0"/>
        <w:ind w:firstLine="540"/>
        <w:jc w:val="both"/>
        <w:rPr/>
      </w:pPr>
      <w:r>
        <w:rPr>
          <w:sz w:val="24"/>
        </w:rPr>
        <w:t xml:space="preserve">В случае проведения медицинского осмотра фельдшером (медицинской сестрой) при выявлении нарушений в состоянии здоровья военнослужащего из числа личного состава экипажа катера для вынесения заключений, указанных в </w:t>
      </w:r>
      <w:hyperlink w:anchor="P186" w:tgtFrame="о наличии признаков воздействия вредных и (или) опасных производственных факторов, состояний и заболеваний, препятствующих управлению транспортным средством, в том числе алкогольного, наркотического или иного токсического опьянения и остаточных явлений такого опьянения (с указанием этих признаков);">
        <w:r>
          <w:rPr>
            <w:rStyle w:val="ListLabel2"/>
            <w:color w:val="0000FF"/>
            <w:sz w:val="24"/>
          </w:rPr>
          <w:t>абзаце восьмом пункта 41</w:t>
        </w:r>
      </w:hyperlink>
      <w:r>
        <w:rPr>
          <w:sz w:val="24"/>
        </w:rPr>
        <w:t xml:space="preserve"> настоящего Порядка, а также решения вопроса о наличии у данного военнослужащего признаков временной нетрудоспособности и нуждаемости в оказании медицинской помощи, военнослужащий направляется к врачу медицинского подразделения воинской части (подразделения) войск национальной гвардии, в медицинскую воинскую часть, медицинскую организацию войск национальной гвардии либо в поликлинику МВД России.</w:t>
      </w:r>
    </w:p>
    <w:p>
      <w:pPr>
        <w:pStyle w:val="ConsPlusNormal"/>
        <w:spacing w:lineRule="auto" w:line="240" w:before="240" w:after="0"/>
        <w:ind w:firstLine="540"/>
        <w:jc w:val="both"/>
        <w:rPr/>
      </w:pPr>
      <w:r>
        <w:rPr>
          <w:sz w:val="24"/>
        </w:rPr>
        <w:t>При отсутствии в штатном расписании катера медицинского специалиста (врача, фельдшера, медицинской сестры) старшим войсковых нарядов (командиром катера) ежедневно проводится осмотр личного состава катера (опрос жалоб на состояние здоровья, выявление признаков алкогольного, наркотического или иного токсического опьянения и остаточных явлений такого опьянения).</w:t>
      </w:r>
    </w:p>
    <w:p>
      <w:pPr>
        <w:pStyle w:val="ConsPlusNormal"/>
        <w:spacing w:lineRule="auto" w:line="240" w:before="240" w:after="0"/>
        <w:ind w:firstLine="540"/>
        <w:jc w:val="both"/>
        <w:rPr/>
      </w:pPr>
      <w:r>
        <w:rPr>
          <w:sz w:val="24"/>
        </w:rPr>
        <w:t>Результаты медицинского осмотра и заключение о допуске (недопуске) военнослужащего к выполнению задач (заступлению на боевое дежурство) заносятся врачом (фельдшером, медицинской сестрой), а при отсутствии в штате катера медицинского работника - старшим войсковых нарядов (командиром катера), проводившим осмотр, в навигационно-вахтенный (моторно-вахтенный) журнал катера и книгу учета предрейсовых (послерейсовых) медицинских осмотров водителей.</w:t>
      </w:r>
    </w:p>
    <w:p>
      <w:pPr>
        <w:pStyle w:val="ConsPlusNormal"/>
        <w:spacing w:lineRule="auto" w:line="240" w:before="240" w:after="0"/>
        <w:ind w:firstLine="540"/>
        <w:jc w:val="both"/>
        <w:rPr/>
      </w:pPr>
      <w:r>
        <w:rPr>
          <w:sz w:val="24"/>
        </w:rPr>
        <w:t>При наличии у военнослужащего из числа личного состава экипажа катера признаков временной нетрудоспособности, опьянения, остаточных явлений опьянения медицинский работник, проводивший медицинский осмотр, докладывает об этом начальнику медицинской службы воинской части (подразделения) войск национальной гвардии и непосредственному командиру (начальнику) военнослужащего.</w:t>
      </w:r>
    </w:p>
    <w:p>
      <w:pPr>
        <w:pStyle w:val="ConsPlusNormal"/>
        <w:spacing w:lineRule="auto" w:line="240" w:before="240" w:after="0"/>
        <w:ind w:firstLine="540"/>
        <w:jc w:val="both"/>
        <w:rPr/>
      </w:pPr>
      <w:r>
        <w:rPr>
          <w:sz w:val="24"/>
        </w:rPr>
        <w:t>46. Медицинский осмотр водолазов, кандидатов в водолазы из числа военнослужащих, проходящих военную службу по контракту (далее - кандидаты в водолазы), проводится непосредственно на водолазном посту (у места спуска) врачом по водолазной медицине либо врачом (фельдшером), прошедшим специальную подготовку и допущенным к работе по медицинскому обеспечению водолазных спусков и работ.</w:t>
      </w:r>
    </w:p>
    <w:p>
      <w:pPr>
        <w:pStyle w:val="ConsPlusNormal"/>
        <w:spacing w:lineRule="auto" w:line="240" w:before="240" w:after="0"/>
        <w:ind w:firstLine="540"/>
        <w:jc w:val="both"/>
        <w:rPr/>
      </w:pPr>
      <w:r>
        <w:rPr>
          <w:sz w:val="24"/>
        </w:rPr>
        <w:t>Медицинский осмотр проводится перед каждым водолазным спуском и по окончании его.</w:t>
      </w:r>
    </w:p>
    <w:p>
      <w:pPr>
        <w:pStyle w:val="ConsPlusNormal"/>
        <w:spacing w:lineRule="auto" w:line="240" w:before="240" w:after="0"/>
        <w:ind w:firstLine="540"/>
        <w:jc w:val="both"/>
        <w:rPr/>
      </w:pPr>
      <w:r>
        <w:rPr>
          <w:sz w:val="24"/>
        </w:rPr>
        <w:t>Результаты медицинского осмотра заносятся врачом (фельдшером) в журнал медицинского обеспечения водолазов.</w:t>
      </w:r>
    </w:p>
    <w:p>
      <w:pPr>
        <w:pStyle w:val="ConsPlusNormal"/>
        <w:spacing w:lineRule="auto" w:line="240" w:before="240" w:after="0"/>
        <w:ind w:firstLine="540"/>
        <w:jc w:val="both"/>
        <w:rPr/>
      </w:pPr>
      <w:r>
        <w:rPr>
          <w:sz w:val="24"/>
        </w:rPr>
        <w:t>По результатам медицинского осмотра врач (фельдшер), проводивший медицинский осмотр перед водолазным спуском, выносит заключение о допуске (недопуске) водолаза (кандидата в водолазы) к водолазному спуску.</w:t>
      </w:r>
    </w:p>
    <w:p>
      <w:pPr>
        <w:pStyle w:val="ConsPlusNormal"/>
        <w:spacing w:lineRule="auto" w:line="240" w:before="240" w:after="0"/>
        <w:ind w:firstLine="540"/>
        <w:jc w:val="both"/>
        <w:rPr/>
      </w:pPr>
      <w:r>
        <w:rPr>
          <w:sz w:val="24"/>
        </w:rPr>
        <w:t>О водолазах (кандидатах в водолазы), не допущенных к водолазным спускам, врач (фельдшер) докладывает командиру водолазного спуска и начальнику медицинской службы воинской части (организации).</w:t>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jc w:val="right"/>
        <w:outlineLvl w:val="0"/>
        <w:rPr/>
      </w:pPr>
      <w:r>
        <w:rPr>
          <w:sz w:val="24"/>
        </w:rPr>
        <w:t>Приложение N 2</w:t>
      </w:r>
    </w:p>
    <w:p>
      <w:pPr>
        <w:pStyle w:val="ConsPlusNormal"/>
        <w:jc w:val="right"/>
        <w:rPr/>
      </w:pPr>
      <w:r>
        <w:rPr>
          <w:sz w:val="24"/>
        </w:rPr>
        <w:t>к приказу Федеральной службы</w:t>
      </w:r>
    </w:p>
    <w:p>
      <w:pPr>
        <w:pStyle w:val="ConsPlusNormal"/>
        <w:jc w:val="right"/>
        <w:rPr/>
      </w:pPr>
      <w:r>
        <w:rPr>
          <w:sz w:val="24"/>
        </w:rPr>
        <w:t>войск национальной гвардии</w:t>
      </w:r>
    </w:p>
    <w:p>
      <w:pPr>
        <w:pStyle w:val="ConsPlusNormal"/>
        <w:jc w:val="right"/>
        <w:rPr/>
      </w:pPr>
      <w:r>
        <w:rPr>
          <w:sz w:val="24"/>
        </w:rPr>
        <w:t>Российской Федерации</w:t>
      </w:r>
    </w:p>
    <w:p>
      <w:pPr>
        <w:pStyle w:val="ConsPlusNormal"/>
        <w:jc w:val="right"/>
        <w:rPr/>
      </w:pPr>
      <w:r>
        <w:rPr>
          <w:sz w:val="24"/>
        </w:rPr>
        <w:t>от 23.04.2021 N 142</w:t>
      </w:r>
    </w:p>
    <w:p>
      <w:pPr>
        <w:pStyle w:val="ConsPlusNormal"/>
        <w:jc w:val="both"/>
        <w:rPr/>
      </w:pPr>
      <w:r>
        <w:rPr/>
      </w:r>
      <w:bookmarkStart w:id="9" w:name="P229"/>
      <w:bookmarkStart w:id="10" w:name="P229"/>
      <w:bookmarkEnd w:id="10"/>
    </w:p>
    <w:p>
      <w:pPr>
        <w:pStyle w:val="ConsPlusTitle"/>
        <w:jc w:val="center"/>
        <w:rPr/>
      </w:pPr>
      <w:bookmarkStart w:id="11" w:name="P229"/>
      <w:bookmarkEnd w:id="11"/>
      <w:r>
        <w:rPr>
          <w:sz w:val="24"/>
        </w:rPr>
        <w:t>ПЕРЕЧЕНЬ</w:t>
      </w:r>
    </w:p>
    <w:p>
      <w:pPr>
        <w:pStyle w:val="ConsPlusTitle"/>
        <w:jc w:val="center"/>
        <w:rPr/>
      </w:pPr>
      <w:r>
        <w:rPr>
          <w:sz w:val="24"/>
        </w:rPr>
        <w:t>ИССЛЕДОВАНИЙ, КОТОРЫЕ ПРОВОДЯТСЯ ВОЕННОСЛУЖАЩИМ ВОЙСК</w:t>
      </w:r>
    </w:p>
    <w:p>
      <w:pPr>
        <w:pStyle w:val="ConsPlusTitle"/>
        <w:jc w:val="center"/>
        <w:rPr/>
      </w:pPr>
      <w:r>
        <w:rPr>
          <w:sz w:val="24"/>
        </w:rPr>
        <w:t>НАЦИОНАЛЬНОЙ ГВАРДИИ РОССИЙСКОЙ ФЕДЕРАЦИИ ПРИ ПРОХОЖДЕНИИ</w:t>
      </w:r>
    </w:p>
    <w:p>
      <w:pPr>
        <w:pStyle w:val="ConsPlusTitle"/>
        <w:jc w:val="center"/>
        <w:rPr/>
      </w:pPr>
      <w:r>
        <w:rPr>
          <w:sz w:val="24"/>
        </w:rPr>
        <w:t>ИМИ МЕДИЦИНСКИХ ОСМОТРОВ И ДИСПАНСЕРИЗАЦИИ</w:t>
      </w:r>
    </w:p>
    <w:p>
      <w:pPr>
        <w:pStyle w:val="ConsPlusNormal"/>
        <w:jc w:val="both"/>
        <w:rPr/>
      </w:pPr>
      <w:r>
        <w:rPr/>
      </w:r>
      <w:bookmarkStart w:id="12" w:name="P234"/>
      <w:bookmarkStart w:id="13" w:name="P234"/>
      <w:bookmarkEnd w:id="13"/>
    </w:p>
    <w:p>
      <w:pPr>
        <w:pStyle w:val="ConsPlusTitle"/>
        <w:numPr>
          <w:ilvl w:val="0"/>
          <w:numId w:val="0"/>
        </w:numPr>
        <w:ind w:firstLine="540"/>
        <w:jc w:val="both"/>
        <w:outlineLvl w:val="1"/>
        <w:rPr/>
      </w:pPr>
      <w:bookmarkStart w:id="14" w:name="P234"/>
      <w:bookmarkEnd w:id="14"/>
      <w:r>
        <w:rPr>
          <w:sz w:val="24"/>
        </w:rPr>
        <w:t>I. Перечень исследований, которые проводятся военнослужащим, проходящим военную службу по призыву, при прохождении ими диспансеризации</w:t>
      </w:r>
    </w:p>
    <w:p>
      <w:pPr>
        <w:pStyle w:val="ConsPlusNormal"/>
        <w:jc w:val="both"/>
        <w:rPr/>
      </w:pPr>
      <w:r>
        <w:rPr/>
      </w:r>
    </w:p>
    <w:tbl>
      <w:tblPr>
        <w:tblW w:w="9068" w:type="dxa"/>
        <w:jc w:val="left"/>
        <w:tblInd w:w="67" w:type="dxa"/>
        <w:tblLayout w:type="fixed"/>
        <w:tblCellMar>
          <w:top w:w="102" w:type="dxa"/>
          <w:left w:w="62" w:type="dxa"/>
          <w:bottom w:w="102" w:type="dxa"/>
          <w:right w:w="62" w:type="dxa"/>
        </w:tblCellMar>
      </w:tblPr>
      <w:tblGrid>
        <w:gridCol w:w="565"/>
        <w:gridCol w:w="907"/>
        <w:gridCol w:w="4763"/>
        <w:gridCol w:w="1700"/>
        <w:gridCol w:w="1133"/>
      </w:tblGrid>
      <w:tr>
        <w:trPr/>
        <w:tc>
          <w:tcPr>
            <w:tcW w:w="565" w:type="dxa"/>
            <w:tcBorders>
              <w:top w:val="single" w:sz="4" w:space="0" w:color="000000"/>
              <w:left w:val="single" w:sz="4" w:space="0" w:color="000000"/>
              <w:bottom w:val="single" w:sz="4" w:space="0" w:color="000000"/>
            </w:tcBorders>
          </w:tcPr>
          <w:p>
            <w:pPr>
              <w:pStyle w:val="ConsPlusNormal"/>
              <w:rPr/>
            </w:pPr>
            <w:r>
              <w:rPr/>
            </w:r>
          </w:p>
        </w:tc>
        <w:tc>
          <w:tcPr>
            <w:tcW w:w="907" w:type="dxa"/>
            <w:tcBorders>
              <w:top w:val="single" w:sz="4" w:space="0" w:color="000000"/>
              <w:bottom w:val="single" w:sz="4" w:space="0" w:color="000000"/>
              <w:right w:val="single" w:sz="4" w:space="0" w:color="000000"/>
            </w:tcBorders>
          </w:tcPr>
          <w:p>
            <w:pPr>
              <w:pStyle w:val="ConsPlusNormal"/>
              <w:rPr/>
            </w:pPr>
            <w:r>
              <w:rPr/>
            </w:r>
          </w:p>
        </w:tc>
        <w:tc>
          <w:tcPr>
            <w:tcW w:w="47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Исследование, осмотр, мероприятие</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Период медицинского обследования</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Проводится (+)/не проводится (-)</w:t>
            </w:r>
          </w:p>
        </w:tc>
      </w:tr>
      <w:tr>
        <w:trPr/>
        <w:tc>
          <w:tcPr>
            <w:tcW w:w="565" w:type="dxa"/>
            <w:vMerge w:val="restart"/>
            <w:tcBorders>
              <w:top w:val="single" w:sz="4" w:space="0" w:color="000000"/>
              <w:left w:val="single" w:sz="4" w:space="0" w:color="000000"/>
              <w:right w:val="single" w:sz="4" w:space="0" w:color="000000"/>
            </w:tcBorders>
            <w:vAlign w:val="center"/>
          </w:tcPr>
          <w:p>
            <w:pPr>
              <w:pStyle w:val="ConsPlusNormal"/>
              <w:jc w:val="center"/>
              <w:rPr/>
            </w:pPr>
            <w:r>
              <w:rPr>
                <w:sz w:val="24"/>
              </w:rPr>
              <w:t>Диспансеризация</w:t>
            </w:r>
          </w:p>
        </w:tc>
        <w:tc>
          <w:tcPr>
            <w:tcW w:w="907" w:type="dxa"/>
            <w:vMerge w:val="restart"/>
            <w:tcBorders>
              <w:top w:val="single" w:sz="4" w:space="0" w:color="000000"/>
              <w:left w:val="single" w:sz="4" w:space="0" w:color="000000"/>
              <w:right w:val="single" w:sz="4" w:space="0" w:color="000000"/>
            </w:tcBorders>
            <w:vAlign w:val="center"/>
          </w:tcPr>
          <w:p>
            <w:pPr>
              <w:pStyle w:val="ConsPlusNormal"/>
              <w:jc w:val="center"/>
              <w:rPr/>
            </w:pPr>
            <w:r>
              <w:rPr>
                <w:sz w:val="24"/>
              </w:rPr>
              <w:t>Профилактический медицинский осмотр</w:t>
            </w:r>
          </w:p>
        </w:tc>
        <w:tc>
          <w:tcPr>
            <w:tcW w:w="4763" w:type="dxa"/>
            <w:vMerge w:val="restart"/>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Опрос (анкетирование) в целях сбора анамнеза (при первичном обследовании) и жалоб, выявления факторов риска заболевания туберкулезом (при первичном обследовании), признаков хронических неинфекционных заболеваний и определение факторов риска их развития, выявления факторов потребления наркотических средств и (или) психотропных веществ без назначения врача либо новых потенциально опасных психоактивных веществ</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ConsPlusNormal"/>
              <w:rPr/>
            </w:pPr>
            <w:r>
              <w:rPr>
                <w:sz w:val="24"/>
              </w:rPr>
              <w:t>Первичное (вновь прибывшее пополнение)</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top w:val="single" w:sz="4" w:space="0" w:color="000000"/>
              <w:left w:val="single" w:sz="4" w:space="0" w:color="000000"/>
              <w:right w:val="single" w:sz="4" w:space="0" w:color="000000"/>
            </w:tcBorders>
          </w:tcPr>
          <w:p>
            <w:pPr>
              <w:pStyle w:val="ConsPlusNormal"/>
              <w:rPr/>
            </w:pPr>
            <w:r>
              <w:rPr/>
            </w:r>
          </w:p>
        </w:tc>
        <w:tc>
          <w:tcPr>
            <w:tcW w:w="907" w:type="dxa"/>
            <w:vMerge w:val="continue"/>
            <w:tcBorders>
              <w:top w:val="single" w:sz="4" w:space="0" w:color="000000"/>
              <w:left w:val="single" w:sz="4" w:space="0" w:color="000000"/>
              <w:right w:val="single" w:sz="4" w:space="0" w:color="000000"/>
            </w:tcBorders>
          </w:tcPr>
          <w:p>
            <w:pPr>
              <w:pStyle w:val="ConsPlusNormal"/>
              <w:rPr/>
            </w:pPr>
            <w:r>
              <w:rPr/>
            </w:r>
          </w:p>
        </w:tc>
        <w:tc>
          <w:tcPr>
            <w:tcW w:w="47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ConsPlusNormal"/>
              <w:rPr/>
            </w:pPr>
            <w:r>
              <w:rPr>
                <w:sz w:val="24"/>
              </w:rPr>
              <w:t>Перед летним или зимним периодом обучения</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top w:val="single" w:sz="4" w:space="0" w:color="000000"/>
              <w:left w:val="single" w:sz="4" w:space="0" w:color="000000"/>
              <w:right w:val="single" w:sz="4" w:space="0" w:color="000000"/>
            </w:tcBorders>
          </w:tcPr>
          <w:p>
            <w:pPr>
              <w:pStyle w:val="ConsPlusNormal"/>
              <w:rPr/>
            </w:pPr>
            <w:r>
              <w:rPr/>
            </w:r>
          </w:p>
        </w:tc>
        <w:tc>
          <w:tcPr>
            <w:tcW w:w="907" w:type="dxa"/>
            <w:vMerge w:val="continue"/>
            <w:tcBorders>
              <w:top w:val="single" w:sz="4" w:space="0" w:color="000000"/>
              <w:left w:val="single" w:sz="4" w:space="0" w:color="000000"/>
              <w:right w:val="single" w:sz="4" w:space="0" w:color="000000"/>
            </w:tcBorders>
          </w:tcPr>
          <w:p>
            <w:pPr>
              <w:pStyle w:val="ConsPlusNormal"/>
              <w:rPr/>
            </w:pPr>
            <w:r>
              <w:rPr/>
            </w:r>
          </w:p>
        </w:tc>
        <w:tc>
          <w:tcPr>
            <w:tcW w:w="4763" w:type="dxa"/>
            <w:vMerge w:val="restart"/>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Антропометрия (измерение массы тела, роста, окружности грудной клетки и талии), расчет индекса массы тела</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ConsPlusNormal"/>
              <w:rPr/>
            </w:pPr>
            <w:r>
              <w:rPr>
                <w:sz w:val="24"/>
              </w:rPr>
              <w:t>Первичное (вновь прибывшее пополнение)</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top w:val="single" w:sz="4" w:space="0" w:color="000000"/>
              <w:left w:val="single" w:sz="4" w:space="0" w:color="000000"/>
              <w:right w:val="single" w:sz="4" w:space="0" w:color="000000"/>
            </w:tcBorders>
          </w:tcPr>
          <w:p>
            <w:pPr>
              <w:pStyle w:val="ConsPlusNormal"/>
              <w:rPr/>
            </w:pPr>
            <w:r>
              <w:rPr/>
            </w:r>
          </w:p>
        </w:tc>
        <w:tc>
          <w:tcPr>
            <w:tcW w:w="907" w:type="dxa"/>
            <w:vMerge w:val="continue"/>
            <w:tcBorders>
              <w:top w:val="single" w:sz="4" w:space="0" w:color="000000"/>
              <w:left w:val="single" w:sz="4" w:space="0" w:color="000000"/>
              <w:right w:val="single" w:sz="4" w:space="0" w:color="000000"/>
            </w:tcBorders>
          </w:tcPr>
          <w:p>
            <w:pPr>
              <w:pStyle w:val="ConsPlusNormal"/>
              <w:rPr/>
            </w:pPr>
            <w:r>
              <w:rPr/>
            </w:r>
          </w:p>
        </w:tc>
        <w:tc>
          <w:tcPr>
            <w:tcW w:w="47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ConsPlusNormal"/>
              <w:rPr/>
            </w:pPr>
            <w:r>
              <w:rPr>
                <w:sz w:val="24"/>
              </w:rPr>
              <w:t>Перед летним или зимним периодом обучения</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top w:val="single" w:sz="4" w:space="0" w:color="000000"/>
              <w:left w:val="single" w:sz="4" w:space="0" w:color="000000"/>
              <w:right w:val="single" w:sz="4" w:space="0" w:color="000000"/>
            </w:tcBorders>
          </w:tcPr>
          <w:p>
            <w:pPr>
              <w:pStyle w:val="ConsPlusNormal"/>
              <w:rPr/>
            </w:pPr>
            <w:r>
              <w:rPr/>
            </w:r>
          </w:p>
        </w:tc>
        <w:tc>
          <w:tcPr>
            <w:tcW w:w="907" w:type="dxa"/>
            <w:vMerge w:val="continue"/>
            <w:tcBorders>
              <w:top w:val="single" w:sz="4" w:space="0" w:color="000000"/>
              <w:left w:val="single" w:sz="4" w:space="0" w:color="000000"/>
              <w:right w:val="single" w:sz="4" w:space="0" w:color="000000"/>
            </w:tcBorders>
          </w:tcPr>
          <w:p>
            <w:pPr>
              <w:pStyle w:val="ConsPlusNormal"/>
              <w:rPr/>
            </w:pPr>
            <w:r>
              <w:rPr/>
            </w:r>
          </w:p>
        </w:tc>
        <w:tc>
          <w:tcPr>
            <w:tcW w:w="4763" w:type="dxa"/>
            <w:vMerge w:val="restart"/>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Динамометрия</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ConsPlusNormal"/>
              <w:rPr/>
            </w:pPr>
            <w:r>
              <w:rPr>
                <w:sz w:val="24"/>
              </w:rPr>
              <w:t>Первичное (вновь прибывшее пополнение)</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top w:val="single" w:sz="4" w:space="0" w:color="000000"/>
              <w:left w:val="single" w:sz="4" w:space="0" w:color="000000"/>
              <w:right w:val="single" w:sz="4" w:space="0" w:color="000000"/>
            </w:tcBorders>
          </w:tcPr>
          <w:p>
            <w:pPr>
              <w:pStyle w:val="ConsPlusNormal"/>
              <w:rPr/>
            </w:pPr>
            <w:r>
              <w:rPr/>
            </w:r>
          </w:p>
        </w:tc>
        <w:tc>
          <w:tcPr>
            <w:tcW w:w="907" w:type="dxa"/>
            <w:vMerge w:val="continue"/>
            <w:tcBorders>
              <w:top w:val="single" w:sz="4" w:space="0" w:color="000000"/>
              <w:left w:val="single" w:sz="4" w:space="0" w:color="000000"/>
              <w:right w:val="single" w:sz="4" w:space="0" w:color="000000"/>
            </w:tcBorders>
          </w:tcPr>
          <w:p>
            <w:pPr>
              <w:pStyle w:val="ConsPlusNormal"/>
              <w:rPr/>
            </w:pPr>
            <w:r>
              <w:rPr/>
            </w:r>
          </w:p>
        </w:tc>
        <w:tc>
          <w:tcPr>
            <w:tcW w:w="47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ConsPlusNormal"/>
              <w:rPr/>
            </w:pPr>
            <w:r>
              <w:rPr>
                <w:sz w:val="24"/>
              </w:rPr>
              <w:t>Перед летним или зимним периодом обучения</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top w:val="single" w:sz="4" w:space="0" w:color="000000"/>
              <w:left w:val="single" w:sz="4" w:space="0" w:color="000000"/>
              <w:right w:val="single" w:sz="4" w:space="0" w:color="000000"/>
            </w:tcBorders>
          </w:tcPr>
          <w:p>
            <w:pPr>
              <w:pStyle w:val="ConsPlusNormal"/>
              <w:rPr/>
            </w:pPr>
            <w:r>
              <w:rPr/>
            </w:r>
          </w:p>
        </w:tc>
        <w:tc>
          <w:tcPr>
            <w:tcW w:w="907" w:type="dxa"/>
            <w:vMerge w:val="continue"/>
            <w:tcBorders>
              <w:top w:val="single" w:sz="4" w:space="0" w:color="000000"/>
              <w:left w:val="single" w:sz="4" w:space="0" w:color="000000"/>
              <w:right w:val="single" w:sz="4" w:space="0" w:color="000000"/>
            </w:tcBorders>
          </w:tcPr>
          <w:p>
            <w:pPr>
              <w:pStyle w:val="ConsPlusNormal"/>
              <w:rPr/>
            </w:pPr>
            <w:r>
              <w:rPr/>
            </w:r>
          </w:p>
        </w:tc>
        <w:tc>
          <w:tcPr>
            <w:tcW w:w="4763" w:type="dxa"/>
            <w:vMerge w:val="restart"/>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Измерение артериального давления на периферических артериях</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ConsPlusNormal"/>
              <w:rPr/>
            </w:pPr>
            <w:r>
              <w:rPr>
                <w:sz w:val="24"/>
              </w:rPr>
              <w:t>Первичное (вновь прибывшее пополнение)</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top w:val="single" w:sz="4" w:space="0" w:color="000000"/>
              <w:left w:val="single" w:sz="4" w:space="0" w:color="000000"/>
              <w:right w:val="single" w:sz="4" w:space="0" w:color="000000"/>
            </w:tcBorders>
          </w:tcPr>
          <w:p>
            <w:pPr>
              <w:pStyle w:val="ConsPlusNormal"/>
              <w:rPr/>
            </w:pPr>
            <w:r>
              <w:rPr/>
            </w:r>
          </w:p>
        </w:tc>
        <w:tc>
          <w:tcPr>
            <w:tcW w:w="907" w:type="dxa"/>
            <w:vMerge w:val="continue"/>
            <w:tcBorders>
              <w:top w:val="single" w:sz="4" w:space="0" w:color="000000"/>
              <w:left w:val="single" w:sz="4" w:space="0" w:color="000000"/>
              <w:right w:val="single" w:sz="4" w:space="0" w:color="000000"/>
            </w:tcBorders>
          </w:tcPr>
          <w:p>
            <w:pPr>
              <w:pStyle w:val="ConsPlusNormal"/>
              <w:rPr/>
            </w:pPr>
            <w:r>
              <w:rPr/>
            </w:r>
          </w:p>
        </w:tc>
        <w:tc>
          <w:tcPr>
            <w:tcW w:w="47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ConsPlusNormal"/>
              <w:rPr/>
            </w:pPr>
            <w:r>
              <w:rPr>
                <w:sz w:val="24"/>
              </w:rPr>
              <w:t>Перед летним или зимним периодом обучения</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top w:val="single" w:sz="4" w:space="0" w:color="000000"/>
              <w:left w:val="single" w:sz="4" w:space="0" w:color="000000"/>
              <w:right w:val="single" w:sz="4" w:space="0" w:color="000000"/>
            </w:tcBorders>
          </w:tcPr>
          <w:p>
            <w:pPr>
              <w:pStyle w:val="ConsPlusNormal"/>
              <w:rPr/>
            </w:pPr>
            <w:r>
              <w:rPr/>
            </w:r>
          </w:p>
        </w:tc>
        <w:tc>
          <w:tcPr>
            <w:tcW w:w="907" w:type="dxa"/>
            <w:vMerge w:val="continue"/>
            <w:tcBorders>
              <w:top w:val="single" w:sz="4" w:space="0" w:color="000000"/>
              <w:left w:val="single" w:sz="4" w:space="0" w:color="000000"/>
              <w:right w:val="single" w:sz="4" w:space="0" w:color="000000"/>
            </w:tcBorders>
          </w:tcPr>
          <w:p>
            <w:pPr>
              <w:pStyle w:val="ConsPlusNormal"/>
              <w:rPr/>
            </w:pPr>
            <w:r>
              <w:rPr/>
            </w:r>
          </w:p>
        </w:tc>
        <w:tc>
          <w:tcPr>
            <w:tcW w:w="4763" w:type="dxa"/>
            <w:vMerge w:val="restart"/>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Флюорография легких в двух проекциях</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ConsPlusNormal"/>
              <w:rPr/>
            </w:pPr>
            <w:r>
              <w:rPr>
                <w:sz w:val="24"/>
              </w:rPr>
              <w:t>Первичное (вновь прибывшее пополнение)</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 независимо от времени ее проведения до призыва</w:t>
            </w:r>
          </w:p>
        </w:tc>
      </w:tr>
      <w:tr>
        <w:trPr/>
        <w:tc>
          <w:tcPr>
            <w:tcW w:w="565" w:type="dxa"/>
            <w:vMerge w:val="continue"/>
            <w:tcBorders>
              <w:top w:val="single" w:sz="4" w:space="0" w:color="000000"/>
              <w:left w:val="single" w:sz="4" w:space="0" w:color="000000"/>
              <w:right w:val="single" w:sz="4" w:space="0" w:color="000000"/>
            </w:tcBorders>
          </w:tcPr>
          <w:p>
            <w:pPr>
              <w:pStyle w:val="ConsPlusNormal"/>
              <w:rPr/>
            </w:pPr>
            <w:r>
              <w:rPr/>
            </w:r>
          </w:p>
        </w:tc>
        <w:tc>
          <w:tcPr>
            <w:tcW w:w="907" w:type="dxa"/>
            <w:vMerge w:val="continue"/>
            <w:tcBorders>
              <w:top w:val="single" w:sz="4" w:space="0" w:color="000000"/>
              <w:left w:val="single" w:sz="4" w:space="0" w:color="000000"/>
              <w:right w:val="single" w:sz="4" w:space="0" w:color="000000"/>
            </w:tcBorders>
          </w:tcPr>
          <w:p>
            <w:pPr>
              <w:pStyle w:val="ConsPlusNormal"/>
              <w:rPr/>
            </w:pPr>
            <w:r>
              <w:rPr/>
            </w:r>
          </w:p>
        </w:tc>
        <w:tc>
          <w:tcPr>
            <w:tcW w:w="47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ConsPlusNormal"/>
              <w:rPr/>
            </w:pPr>
            <w:r>
              <w:rPr>
                <w:sz w:val="24"/>
              </w:rPr>
              <w:t>Перед летним или зимним периодом обучения</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top w:val="single" w:sz="4" w:space="0" w:color="000000"/>
              <w:left w:val="single" w:sz="4" w:space="0" w:color="000000"/>
              <w:right w:val="single" w:sz="4" w:space="0" w:color="000000"/>
            </w:tcBorders>
          </w:tcPr>
          <w:p>
            <w:pPr>
              <w:pStyle w:val="ConsPlusNormal"/>
              <w:rPr/>
            </w:pPr>
            <w:r>
              <w:rPr/>
            </w:r>
          </w:p>
        </w:tc>
        <w:tc>
          <w:tcPr>
            <w:tcW w:w="907" w:type="dxa"/>
            <w:vMerge w:val="continue"/>
            <w:tcBorders>
              <w:top w:val="single" w:sz="4" w:space="0" w:color="000000"/>
              <w:left w:val="single" w:sz="4" w:space="0" w:color="000000"/>
              <w:right w:val="single" w:sz="4" w:space="0" w:color="000000"/>
            </w:tcBorders>
          </w:tcPr>
          <w:p>
            <w:pPr>
              <w:pStyle w:val="ConsPlusNormal"/>
              <w:rPr/>
            </w:pPr>
            <w:r>
              <w:rPr/>
            </w:r>
          </w:p>
        </w:tc>
        <w:tc>
          <w:tcPr>
            <w:tcW w:w="4763" w:type="dxa"/>
            <w:vMerge w:val="restart"/>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Осмотр врачом-стоматологом</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ConsPlusNormal"/>
              <w:rPr/>
            </w:pPr>
            <w:r>
              <w:rPr>
                <w:sz w:val="24"/>
              </w:rPr>
              <w:t>Первичное (вновь прибывшее пополнение)</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top w:val="single" w:sz="4" w:space="0" w:color="000000"/>
              <w:left w:val="single" w:sz="4" w:space="0" w:color="000000"/>
              <w:right w:val="single" w:sz="4" w:space="0" w:color="000000"/>
            </w:tcBorders>
          </w:tcPr>
          <w:p>
            <w:pPr>
              <w:pStyle w:val="ConsPlusNormal"/>
              <w:rPr/>
            </w:pPr>
            <w:r>
              <w:rPr/>
            </w:r>
          </w:p>
        </w:tc>
        <w:tc>
          <w:tcPr>
            <w:tcW w:w="907" w:type="dxa"/>
            <w:vMerge w:val="continue"/>
            <w:tcBorders>
              <w:top w:val="single" w:sz="4" w:space="0" w:color="000000"/>
              <w:left w:val="single" w:sz="4" w:space="0" w:color="000000"/>
              <w:right w:val="single" w:sz="4" w:space="0" w:color="000000"/>
            </w:tcBorders>
          </w:tcPr>
          <w:p>
            <w:pPr>
              <w:pStyle w:val="ConsPlusNormal"/>
              <w:rPr/>
            </w:pPr>
            <w:r>
              <w:rPr/>
            </w:r>
          </w:p>
        </w:tc>
        <w:tc>
          <w:tcPr>
            <w:tcW w:w="47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ConsPlusNormal"/>
              <w:rPr/>
            </w:pPr>
            <w:r>
              <w:rPr>
                <w:sz w:val="24"/>
              </w:rPr>
              <w:t>Перед летним или зимним периодом обучения</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restart"/>
            <w:tcBorders>
              <w:left w:val="single" w:sz="4" w:space="0" w:color="000000"/>
              <w:bottom w:val="single" w:sz="4" w:space="0" w:color="000000"/>
              <w:right w:val="single" w:sz="4" w:space="0" w:color="000000"/>
            </w:tcBorders>
          </w:tcPr>
          <w:p>
            <w:pPr>
              <w:pStyle w:val="ConsPlusNormal"/>
              <w:rPr/>
            </w:pPr>
            <w:r>
              <w:rPr/>
            </w:r>
          </w:p>
        </w:tc>
        <w:tc>
          <w:tcPr>
            <w:tcW w:w="907" w:type="dxa"/>
            <w:vMerge w:val="restart"/>
            <w:tcBorders>
              <w:left w:val="single" w:sz="4" w:space="0" w:color="000000"/>
              <w:bottom w:val="single" w:sz="4" w:space="0" w:color="000000"/>
              <w:right w:val="single" w:sz="4" w:space="0" w:color="000000"/>
            </w:tcBorders>
          </w:tcPr>
          <w:p>
            <w:pPr>
              <w:pStyle w:val="ConsPlusNormal"/>
              <w:rPr/>
            </w:pPr>
            <w:r>
              <w:rPr/>
            </w:r>
          </w:p>
        </w:tc>
        <w:tc>
          <w:tcPr>
            <w:tcW w:w="4763" w:type="dxa"/>
            <w:vMerge w:val="restart"/>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Осмотр врачом-психиатром</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ConsPlusNormal"/>
              <w:rPr/>
            </w:pPr>
            <w:r>
              <w:rPr>
                <w:sz w:val="24"/>
              </w:rPr>
              <w:t>Первичное (вновь прибывшее пополнение)</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left w:val="single" w:sz="4" w:space="0" w:color="000000"/>
              <w:bottom w:val="single" w:sz="4" w:space="0" w:color="000000"/>
              <w:right w:val="single" w:sz="4" w:space="0" w:color="000000"/>
            </w:tcBorders>
          </w:tcPr>
          <w:p>
            <w:pPr>
              <w:pStyle w:val="ConsPlusNormal"/>
              <w:rPr/>
            </w:pPr>
            <w:r>
              <w:rPr/>
            </w:r>
          </w:p>
        </w:tc>
        <w:tc>
          <w:tcPr>
            <w:tcW w:w="907" w:type="dxa"/>
            <w:vMerge w:val="continue"/>
            <w:tcBorders>
              <w:left w:val="single" w:sz="4" w:space="0" w:color="000000"/>
              <w:bottom w:val="single" w:sz="4" w:space="0" w:color="000000"/>
              <w:right w:val="single" w:sz="4" w:space="0" w:color="000000"/>
            </w:tcBorders>
          </w:tcPr>
          <w:p>
            <w:pPr>
              <w:pStyle w:val="ConsPlusNormal"/>
              <w:rPr/>
            </w:pPr>
            <w:r>
              <w:rPr/>
            </w:r>
          </w:p>
        </w:tc>
        <w:tc>
          <w:tcPr>
            <w:tcW w:w="47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ConsPlusNormal"/>
              <w:rPr/>
            </w:pPr>
            <w:r>
              <w:rPr>
                <w:sz w:val="24"/>
              </w:rPr>
              <w:t>Перед летним или зимним периодом обучения</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left w:val="single" w:sz="4" w:space="0" w:color="000000"/>
              <w:bottom w:val="single" w:sz="4" w:space="0" w:color="000000"/>
              <w:right w:val="single" w:sz="4" w:space="0" w:color="000000"/>
            </w:tcBorders>
          </w:tcPr>
          <w:p>
            <w:pPr>
              <w:pStyle w:val="ConsPlusNormal"/>
              <w:rPr/>
            </w:pPr>
            <w:r>
              <w:rPr/>
            </w:r>
          </w:p>
        </w:tc>
        <w:tc>
          <w:tcPr>
            <w:tcW w:w="907" w:type="dxa"/>
            <w:vMerge w:val="continue"/>
            <w:tcBorders>
              <w:left w:val="single" w:sz="4" w:space="0" w:color="000000"/>
              <w:bottom w:val="single" w:sz="4" w:space="0" w:color="000000"/>
              <w:right w:val="single" w:sz="4" w:space="0" w:color="000000"/>
            </w:tcBorders>
          </w:tcPr>
          <w:p>
            <w:pPr>
              <w:pStyle w:val="ConsPlusNormal"/>
              <w:rPr/>
            </w:pPr>
            <w:r>
              <w:rPr/>
            </w:r>
          </w:p>
        </w:tc>
        <w:tc>
          <w:tcPr>
            <w:tcW w:w="4763" w:type="dxa"/>
            <w:vMerge w:val="restart"/>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Осмотр врачом воинской части (организации) по специальности "врач общей практики" ("врач-терапевт"), включающий установление (уточнение) диагноза, оценку состояния питания, физического развития, определение группы здоровья и группы диспансерного наблюдения</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ConsPlusNormal"/>
              <w:rPr/>
            </w:pPr>
            <w:r>
              <w:rPr>
                <w:sz w:val="24"/>
              </w:rPr>
              <w:t>Первичное (вновь прибывшее пополнение)</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left w:val="single" w:sz="4" w:space="0" w:color="000000"/>
              <w:bottom w:val="single" w:sz="4" w:space="0" w:color="000000"/>
              <w:right w:val="single" w:sz="4" w:space="0" w:color="000000"/>
            </w:tcBorders>
          </w:tcPr>
          <w:p>
            <w:pPr>
              <w:pStyle w:val="ConsPlusNormal"/>
              <w:rPr/>
            </w:pPr>
            <w:r>
              <w:rPr/>
            </w:r>
          </w:p>
        </w:tc>
        <w:tc>
          <w:tcPr>
            <w:tcW w:w="907" w:type="dxa"/>
            <w:vMerge w:val="continue"/>
            <w:tcBorders>
              <w:left w:val="single" w:sz="4" w:space="0" w:color="000000"/>
              <w:bottom w:val="single" w:sz="4" w:space="0" w:color="000000"/>
              <w:right w:val="single" w:sz="4" w:space="0" w:color="000000"/>
            </w:tcBorders>
          </w:tcPr>
          <w:p>
            <w:pPr>
              <w:pStyle w:val="ConsPlusNormal"/>
              <w:rPr/>
            </w:pPr>
            <w:r>
              <w:rPr/>
            </w:r>
          </w:p>
        </w:tc>
        <w:tc>
          <w:tcPr>
            <w:tcW w:w="47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ConsPlusNormal"/>
              <w:rPr/>
            </w:pPr>
            <w:r>
              <w:rPr>
                <w:sz w:val="24"/>
              </w:rPr>
              <w:t>Перед летним или зимним периодом обучения</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bl>
    <w:p>
      <w:pPr>
        <w:pStyle w:val="ConsPlusNormal"/>
        <w:jc w:val="both"/>
        <w:rPr/>
      </w:pPr>
      <w:r>
        <w:rPr/>
      </w:r>
    </w:p>
    <w:p>
      <w:pPr>
        <w:pStyle w:val="ConsPlusTitle"/>
        <w:numPr>
          <w:ilvl w:val="0"/>
          <w:numId w:val="0"/>
        </w:numPr>
        <w:ind w:firstLine="540"/>
        <w:jc w:val="both"/>
        <w:outlineLvl w:val="1"/>
        <w:rPr/>
      </w:pPr>
      <w:r>
        <w:rPr>
          <w:sz w:val="24"/>
        </w:rPr>
        <w:t>II. Перечень исследований, которые проводятся военнослужащим, проходящим военную службу по контракту, в возрасте от 18 до 40 лет при прохождении ими диспансеризации</w:t>
      </w:r>
    </w:p>
    <w:p>
      <w:pPr>
        <w:sectPr>
          <w:headerReference w:type="even" r:id="rId7"/>
          <w:headerReference w:type="default" r:id="rId8"/>
          <w:headerReference w:type="first" r:id="rId9"/>
          <w:footerReference w:type="even" r:id="rId10"/>
          <w:footerReference w:type="default" r:id="rId11"/>
          <w:footerReference w:type="first" r:id="rId12"/>
          <w:type w:val="nextPage"/>
          <w:pgSz w:w="11906" w:h="16838"/>
          <w:pgMar w:left="1133" w:right="566" w:gutter="0" w:header="0" w:top="1440" w:footer="0" w:bottom="1440"/>
          <w:pgNumType w:fmt="decimal"/>
          <w:formProt w:val="false"/>
          <w:titlePg/>
          <w:textDirection w:val="lrTb"/>
          <w:docGrid w:type="default" w:linePitch="100" w:charSpace="8192"/>
        </w:sectPr>
        <w:pStyle w:val="ConsPlusNormal"/>
        <w:jc w:val="both"/>
        <w:rPr/>
      </w:pPr>
      <w:r>
        <w:rPr/>
      </w:r>
    </w:p>
    <w:tbl>
      <w:tblPr>
        <w:tblW w:w="13601" w:type="dxa"/>
        <w:jc w:val="left"/>
        <w:tblInd w:w="67" w:type="dxa"/>
        <w:tblLayout w:type="fixed"/>
        <w:tblCellMar>
          <w:top w:w="102" w:type="dxa"/>
          <w:left w:w="62" w:type="dxa"/>
          <w:bottom w:w="102" w:type="dxa"/>
          <w:right w:w="62" w:type="dxa"/>
        </w:tblCellMar>
      </w:tblPr>
      <w:tblGrid>
        <w:gridCol w:w="565"/>
        <w:gridCol w:w="907"/>
        <w:gridCol w:w="2892"/>
        <w:gridCol w:w="1416"/>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39"/>
      </w:tblGrid>
      <w:tr>
        <w:trPr/>
        <w:tc>
          <w:tcPr>
            <w:tcW w:w="1472"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ConsPlusNormal"/>
              <w:rPr/>
            </w:pPr>
            <w:r>
              <w:rPr/>
            </w:r>
          </w:p>
        </w:tc>
        <w:tc>
          <w:tcPr>
            <w:tcW w:w="4308"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Осмотр, исследование, мероприятие</w:t>
            </w:r>
          </w:p>
        </w:tc>
        <w:tc>
          <w:tcPr>
            <w:tcW w:w="7819" w:type="dxa"/>
            <w:gridSpan w:val="23"/>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Возраст</w:t>
            </w:r>
          </w:p>
        </w:tc>
      </w:tr>
      <w:tr>
        <w:trPr/>
        <w:tc>
          <w:tcPr>
            <w:tcW w:w="1472"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4308"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18</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19</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20</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21</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22</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23</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24</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25</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26</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27</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28</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29</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30</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31</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32</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33</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34</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35</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36</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37</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38</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39</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40</w:t>
            </w:r>
          </w:p>
        </w:tc>
      </w:tr>
      <w:tr>
        <w:trPr/>
        <w:tc>
          <w:tcPr>
            <w:tcW w:w="565" w:type="dxa"/>
            <w:vMerge w:val="restart"/>
            <w:tcBorders>
              <w:top w:val="single" w:sz="4" w:space="0" w:color="000000"/>
              <w:left w:val="single" w:sz="4" w:space="0" w:color="000000"/>
              <w:right w:val="single" w:sz="4" w:space="0" w:color="000000"/>
            </w:tcBorders>
            <w:vAlign w:val="center"/>
          </w:tcPr>
          <w:p>
            <w:pPr>
              <w:pStyle w:val="ConsPlusNormal"/>
              <w:jc w:val="center"/>
              <w:rPr/>
            </w:pPr>
            <w:r>
              <w:rPr>
                <w:sz w:val="24"/>
              </w:rPr>
              <w:t>Диспансеризация</w:t>
            </w:r>
          </w:p>
        </w:tc>
        <w:tc>
          <w:tcPr>
            <w:tcW w:w="907" w:type="dxa"/>
            <w:vMerge w:val="restart"/>
            <w:tcBorders>
              <w:top w:val="single" w:sz="4" w:space="0" w:color="000000"/>
              <w:left w:val="single" w:sz="4" w:space="0" w:color="000000"/>
              <w:right w:val="single" w:sz="4" w:space="0" w:color="000000"/>
            </w:tcBorders>
            <w:vAlign w:val="center"/>
          </w:tcPr>
          <w:p>
            <w:pPr>
              <w:pStyle w:val="ConsPlusNormal"/>
              <w:jc w:val="center"/>
              <w:rPr/>
            </w:pPr>
            <w:r>
              <w:rPr>
                <w:sz w:val="24"/>
              </w:rPr>
              <w:t>Профилактический медицинский осмотр</w:t>
            </w:r>
          </w:p>
        </w:tc>
        <w:tc>
          <w:tcPr>
            <w:tcW w:w="4308"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Опрос (анкетирование) в целях сбора анамнеза (при первичном обследовании) и жалоб, выявления признаков хронических неинфекционных заболеваний и определение факторов риска их развития, выявления факторов потребления наркотических средств и (или) психотропных веществ без назначения врача либо новых потенциально опасных психоактивных веществ</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top w:val="single" w:sz="4" w:space="0" w:color="000000"/>
              <w:left w:val="single" w:sz="4" w:space="0" w:color="000000"/>
              <w:right w:val="single" w:sz="4" w:space="0" w:color="000000"/>
            </w:tcBorders>
          </w:tcPr>
          <w:p>
            <w:pPr>
              <w:pStyle w:val="ConsPlusNormal"/>
              <w:rPr/>
            </w:pPr>
            <w:r>
              <w:rPr/>
            </w:r>
          </w:p>
        </w:tc>
        <w:tc>
          <w:tcPr>
            <w:tcW w:w="907" w:type="dxa"/>
            <w:vMerge w:val="continue"/>
            <w:tcBorders>
              <w:top w:val="single" w:sz="4" w:space="0" w:color="000000"/>
              <w:left w:val="single" w:sz="4" w:space="0" w:color="000000"/>
              <w:right w:val="single" w:sz="4" w:space="0" w:color="000000"/>
            </w:tcBorders>
          </w:tcPr>
          <w:p>
            <w:pPr>
              <w:pStyle w:val="ConsPlusNormal"/>
              <w:rPr/>
            </w:pPr>
            <w:r>
              <w:rPr/>
            </w:r>
          </w:p>
        </w:tc>
        <w:tc>
          <w:tcPr>
            <w:tcW w:w="4308"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Антропометрия (измерение массы тела, роста, окружности грудной клетки и талии), расчет индекса массы тела, динамометрия</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top w:val="single" w:sz="4" w:space="0" w:color="000000"/>
              <w:left w:val="single" w:sz="4" w:space="0" w:color="000000"/>
              <w:right w:val="single" w:sz="4" w:space="0" w:color="000000"/>
            </w:tcBorders>
          </w:tcPr>
          <w:p>
            <w:pPr>
              <w:pStyle w:val="ConsPlusNormal"/>
              <w:rPr/>
            </w:pPr>
            <w:r>
              <w:rPr/>
            </w:r>
          </w:p>
        </w:tc>
        <w:tc>
          <w:tcPr>
            <w:tcW w:w="907" w:type="dxa"/>
            <w:vMerge w:val="continue"/>
            <w:tcBorders>
              <w:top w:val="single" w:sz="4" w:space="0" w:color="000000"/>
              <w:left w:val="single" w:sz="4" w:space="0" w:color="000000"/>
              <w:right w:val="single" w:sz="4" w:space="0" w:color="000000"/>
            </w:tcBorders>
          </w:tcPr>
          <w:p>
            <w:pPr>
              <w:pStyle w:val="ConsPlusNormal"/>
              <w:rPr/>
            </w:pPr>
            <w:r>
              <w:rPr/>
            </w:r>
          </w:p>
        </w:tc>
        <w:tc>
          <w:tcPr>
            <w:tcW w:w="4308"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Исследование дыхательной функции (спирометрия и (или) спирография)</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top w:val="single" w:sz="4" w:space="0" w:color="000000"/>
              <w:left w:val="single" w:sz="4" w:space="0" w:color="000000"/>
              <w:right w:val="single" w:sz="4" w:space="0" w:color="000000"/>
            </w:tcBorders>
          </w:tcPr>
          <w:p>
            <w:pPr>
              <w:pStyle w:val="ConsPlusNormal"/>
              <w:rPr/>
            </w:pPr>
            <w:r>
              <w:rPr/>
            </w:r>
          </w:p>
        </w:tc>
        <w:tc>
          <w:tcPr>
            <w:tcW w:w="907" w:type="dxa"/>
            <w:vMerge w:val="continue"/>
            <w:tcBorders>
              <w:top w:val="single" w:sz="4" w:space="0" w:color="000000"/>
              <w:left w:val="single" w:sz="4" w:space="0" w:color="000000"/>
              <w:right w:val="single" w:sz="4" w:space="0" w:color="000000"/>
            </w:tcBorders>
          </w:tcPr>
          <w:p>
            <w:pPr>
              <w:pStyle w:val="ConsPlusNormal"/>
              <w:rPr/>
            </w:pPr>
            <w:r>
              <w:rPr/>
            </w:r>
          </w:p>
        </w:tc>
        <w:tc>
          <w:tcPr>
            <w:tcW w:w="4308"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Измерение артериального давления на периферических артериях</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top w:val="single" w:sz="4" w:space="0" w:color="000000"/>
              <w:left w:val="single" w:sz="4" w:space="0" w:color="000000"/>
              <w:right w:val="single" w:sz="4" w:space="0" w:color="000000"/>
            </w:tcBorders>
          </w:tcPr>
          <w:p>
            <w:pPr>
              <w:pStyle w:val="ConsPlusNormal"/>
              <w:rPr/>
            </w:pPr>
            <w:r>
              <w:rPr/>
            </w:r>
          </w:p>
        </w:tc>
        <w:tc>
          <w:tcPr>
            <w:tcW w:w="907" w:type="dxa"/>
            <w:vMerge w:val="continue"/>
            <w:tcBorders>
              <w:top w:val="single" w:sz="4" w:space="0" w:color="000000"/>
              <w:left w:val="single" w:sz="4" w:space="0" w:color="000000"/>
              <w:right w:val="single" w:sz="4" w:space="0" w:color="000000"/>
            </w:tcBorders>
          </w:tcPr>
          <w:p>
            <w:pPr>
              <w:pStyle w:val="ConsPlusNormal"/>
              <w:rPr/>
            </w:pPr>
            <w:r>
              <w:rPr/>
            </w:r>
          </w:p>
        </w:tc>
        <w:tc>
          <w:tcPr>
            <w:tcW w:w="4308"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Измерение внутриглазного давления</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top w:val="single" w:sz="4" w:space="0" w:color="000000"/>
              <w:left w:val="single" w:sz="4" w:space="0" w:color="000000"/>
              <w:right w:val="single" w:sz="4" w:space="0" w:color="000000"/>
            </w:tcBorders>
          </w:tcPr>
          <w:p>
            <w:pPr>
              <w:pStyle w:val="ConsPlusNormal"/>
              <w:rPr/>
            </w:pPr>
            <w:r>
              <w:rPr/>
            </w:r>
          </w:p>
        </w:tc>
        <w:tc>
          <w:tcPr>
            <w:tcW w:w="907" w:type="dxa"/>
            <w:vMerge w:val="continue"/>
            <w:tcBorders>
              <w:top w:val="single" w:sz="4" w:space="0" w:color="000000"/>
              <w:left w:val="single" w:sz="4" w:space="0" w:color="000000"/>
              <w:right w:val="single" w:sz="4" w:space="0" w:color="000000"/>
            </w:tcBorders>
          </w:tcPr>
          <w:p>
            <w:pPr>
              <w:pStyle w:val="ConsPlusNormal"/>
              <w:rPr/>
            </w:pPr>
            <w:r>
              <w:rPr/>
            </w:r>
          </w:p>
        </w:tc>
        <w:tc>
          <w:tcPr>
            <w:tcW w:w="4308"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Общий (клинический) анализ крови развернутый</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top w:val="single" w:sz="4" w:space="0" w:color="000000"/>
              <w:left w:val="single" w:sz="4" w:space="0" w:color="000000"/>
              <w:right w:val="single" w:sz="4" w:space="0" w:color="000000"/>
            </w:tcBorders>
          </w:tcPr>
          <w:p>
            <w:pPr>
              <w:pStyle w:val="ConsPlusNormal"/>
              <w:rPr/>
            </w:pPr>
            <w:r>
              <w:rPr/>
            </w:r>
          </w:p>
        </w:tc>
        <w:tc>
          <w:tcPr>
            <w:tcW w:w="907" w:type="dxa"/>
            <w:vMerge w:val="continue"/>
            <w:tcBorders>
              <w:top w:val="single" w:sz="4" w:space="0" w:color="000000"/>
              <w:left w:val="single" w:sz="4" w:space="0" w:color="000000"/>
              <w:right w:val="single" w:sz="4" w:space="0" w:color="000000"/>
            </w:tcBorders>
          </w:tcPr>
          <w:p>
            <w:pPr>
              <w:pStyle w:val="ConsPlusNormal"/>
              <w:rPr/>
            </w:pPr>
            <w:r>
              <w:rPr/>
            </w:r>
          </w:p>
        </w:tc>
        <w:tc>
          <w:tcPr>
            <w:tcW w:w="4308"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Общий (клинический) анализ мочи</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top w:val="single" w:sz="4" w:space="0" w:color="000000"/>
              <w:left w:val="single" w:sz="4" w:space="0" w:color="000000"/>
              <w:right w:val="single" w:sz="4" w:space="0" w:color="000000"/>
            </w:tcBorders>
          </w:tcPr>
          <w:p>
            <w:pPr>
              <w:pStyle w:val="ConsPlusNormal"/>
              <w:rPr/>
            </w:pPr>
            <w:r>
              <w:rPr/>
            </w:r>
          </w:p>
        </w:tc>
        <w:tc>
          <w:tcPr>
            <w:tcW w:w="907" w:type="dxa"/>
            <w:vMerge w:val="continue"/>
            <w:tcBorders>
              <w:top w:val="single" w:sz="4" w:space="0" w:color="000000"/>
              <w:left w:val="single" w:sz="4" w:space="0" w:color="000000"/>
              <w:right w:val="single" w:sz="4" w:space="0" w:color="000000"/>
            </w:tcBorders>
          </w:tcPr>
          <w:p>
            <w:pPr>
              <w:pStyle w:val="ConsPlusNormal"/>
              <w:rPr/>
            </w:pPr>
            <w:r>
              <w:rPr/>
            </w:r>
          </w:p>
        </w:tc>
        <w:tc>
          <w:tcPr>
            <w:tcW w:w="4308"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Определение уровня общего холестерина в крови (допускается использование экспресс-метода)</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top w:val="single" w:sz="4" w:space="0" w:color="000000"/>
              <w:left w:val="single" w:sz="4" w:space="0" w:color="000000"/>
              <w:right w:val="single" w:sz="4" w:space="0" w:color="000000"/>
            </w:tcBorders>
          </w:tcPr>
          <w:p>
            <w:pPr>
              <w:pStyle w:val="ConsPlusNormal"/>
              <w:rPr/>
            </w:pPr>
            <w:r>
              <w:rPr/>
            </w:r>
          </w:p>
        </w:tc>
        <w:tc>
          <w:tcPr>
            <w:tcW w:w="907" w:type="dxa"/>
            <w:vMerge w:val="continue"/>
            <w:tcBorders>
              <w:top w:val="single" w:sz="4" w:space="0" w:color="000000"/>
              <w:left w:val="single" w:sz="4" w:space="0" w:color="000000"/>
              <w:right w:val="single" w:sz="4" w:space="0" w:color="000000"/>
            </w:tcBorders>
          </w:tcPr>
          <w:p>
            <w:pPr>
              <w:pStyle w:val="ConsPlusNormal"/>
              <w:rPr/>
            </w:pPr>
            <w:r>
              <w:rPr/>
            </w:r>
          </w:p>
        </w:tc>
        <w:tc>
          <w:tcPr>
            <w:tcW w:w="4308"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Анализ крови биохимический общетерапевтический (в объеме определения уровня креатинина, мочевины, общего и прямого билирубина, аспартат-аминотрансаминазы, аланин-аминотрансаминазы, глюкозы, общего холестерина, холестерина липопротеидов высокой плотности)</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top w:val="single" w:sz="4" w:space="0" w:color="000000"/>
              <w:left w:val="single" w:sz="4" w:space="0" w:color="000000"/>
              <w:right w:val="single" w:sz="4" w:space="0" w:color="000000"/>
            </w:tcBorders>
          </w:tcPr>
          <w:p>
            <w:pPr>
              <w:pStyle w:val="ConsPlusNormal"/>
              <w:rPr/>
            </w:pPr>
            <w:r>
              <w:rPr/>
            </w:r>
          </w:p>
        </w:tc>
        <w:tc>
          <w:tcPr>
            <w:tcW w:w="907" w:type="dxa"/>
            <w:vMerge w:val="continue"/>
            <w:tcBorders>
              <w:top w:val="single" w:sz="4" w:space="0" w:color="000000"/>
              <w:left w:val="single" w:sz="4" w:space="0" w:color="000000"/>
              <w:right w:val="single" w:sz="4" w:space="0" w:color="000000"/>
            </w:tcBorders>
          </w:tcPr>
          <w:p>
            <w:pPr>
              <w:pStyle w:val="ConsPlusNormal"/>
              <w:rPr/>
            </w:pPr>
            <w:r>
              <w:rPr/>
            </w:r>
          </w:p>
        </w:tc>
        <w:tc>
          <w:tcPr>
            <w:tcW w:w="4308"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Исследование уровня простатспецифического антигена (ПСА) в крови (мужчинам)</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top w:val="single" w:sz="4" w:space="0" w:color="000000"/>
              <w:left w:val="single" w:sz="4" w:space="0" w:color="000000"/>
              <w:right w:val="single" w:sz="4" w:space="0" w:color="000000"/>
            </w:tcBorders>
          </w:tcPr>
          <w:p>
            <w:pPr>
              <w:pStyle w:val="ConsPlusNormal"/>
              <w:rPr/>
            </w:pPr>
            <w:r>
              <w:rPr/>
            </w:r>
          </w:p>
        </w:tc>
        <w:tc>
          <w:tcPr>
            <w:tcW w:w="907" w:type="dxa"/>
            <w:vMerge w:val="continue"/>
            <w:tcBorders>
              <w:top w:val="single" w:sz="4" w:space="0" w:color="000000"/>
              <w:left w:val="single" w:sz="4" w:space="0" w:color="000000"/>
              <w:right w:val="single" w:sz="4" w:space="0" w:color="000000"/>
            </w:tcBorders>
          </w:tcPr>
          <w:p>
            <w:pPr>
              <w:pStyle w:val="ConsPlusNormal"/>
              <w:rPr/>
            </w:pPr>
            <w:r>
              <w:rPr/>
            </w:r>
          </w:p>
        </w:tc>
        <w:tc>
          <w:tcPr>
            <w:tcW w:w="4308"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jc w:val="both"/>
              <w:rPr/>
            </w:pPr>
            <w:r>
              <w:rPr>
                <w:sz w:val="24"/>
              </w:rPr>
              <w:t>Определение относительного суммарного сердечно-сосудистого риска (при высоком относительном сердечно-сосудистом риске его определение осуществляется ежегодно)</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restart"/>
            <w:tcBorders>
              <w:left w:val="single" w:sz="4" w:space="0" w:color="000000"/>
              <w:right w:val="single" w:sz="4" w:space="0" w:color="000000"/>
            </w:tcBorders>
            <w:vAlign w:val="center"/>
          </w:tcPr>
          <w:p>
            <w:pPr>
              <w:pStyle w:val="ConsPlusNormal"/>
              <w:jc w:val="center"/>
              <w:rPr/>
            </w:pPr>
            <w:r>
              <w:rPr>
                <w:sz w:val="24"/>
              </w:rPr>
              <w:t>Диспансеризация</w:t>
            </w:r>
          </w:p>
        </w:tc>
        <w:tc>
          <w:tcPr>
            <w:tcW w:w="907" w:type="dxa"/>
            <w:vMerge w:val="restart"/>
            <w:tcBorders>
              <w:left w:val="single" w:sz="4" w:space="0" w:color="000000"/>
              <w:right w:val="single" w:sz="4" w:space="0" w:color="000000"/>
            </w:tcBorders>
            <w:vAlign w:val="center"/>
          </w:tcPr>
          <w:p>
            <w:pPr>
              <w:pStyle w:val="ConsPlusNormal"/>
              <w:jc w:val="center"/>
              <w:rPr/>
            </w:pPr>
            <w:r>
              <w:rPr>
                <w:sz w:val="24"/>
              </w:rPr>
              <w:t>Профилактический медицинский осмотр</w:t>
            </w:r>
          </w:p>
        </w:tc>
        <w:tc>
          <w:tcPr>
            <w:tcW w:w="4308"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Определение абсолютного суммарного сердечно-сосудистого риска</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left w:val="single" w:sz="4" w:space="0" w:color="000000"/>
              <w:right w:val="single" w:sz="4" w:space="0" w:color="000000"/>
            </w:tcBorders>
          </w:tcPr>
          <w:p>
            <w:pPr>
              <w:pStyle w:val="ConsPlusNormal"/>
              <w:rPr/>
            </w:pPr>
            <w:r>
              <w:rPr/>
            </w:r>
          </w:p>
        </w:tc>
        <w:tc>
          <w:tcPr>
            <w:tcW w:w="907" w:type="dxa"/>
            <w:vMerge w:val="continue"/>
            <w:tcBorders>
              <w:left w:val="single" w:sz="4" w:space="0" w:color="000000"/>
              <w:right w:val="single" w:sz="4" w:space="0" w:color="000000"/>
            </w:tcBorders>
          </w:tcPr>
          <w:p>
            <w:pPr>
              <w:pStyle w:val="ConsPlusNormal"/>
              <w:rPr/>
            </w:pPr>
            <w:r>
              <w:rPr/>
            </w:r>
          </w:p>
        </w:tc>
        <w:tc>
          <w:tcPr>
            <w:tcW w:w="4308"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Флюорография легких в двух проекциях (флюорография не проводится, если военнослужащему в течение предшествующего календарного года либо года проведения профилактического медицинского осмотра проводилась флюорография, рентгенография (рентгеноскопия) или компьютерная томография органов грудной клетки (документально подтвержденное)</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left w:val="single" w:sz="4" w:space="0" w:color="000000"/>
              <w:right w:val="single" w:sz="4" w:space="0" w:color="000000"/>
            </w:tcBorders>
          </w:tcPr>
          <w:p>
            <w:pPr>
              <w:pStyle w:val="ConsPlusNormal"/>
              <w:rPr/>
            </w:pPr>
            <w:r>
              <w:rPr/>
            </w:r>
          </w:p>
        </w:tc>
        <w:tc>
          <w:tcPr>
            <w:tcW w:w="907" w:type="dxa"/>
            <w:vMerge w:val="continue"/>
            <w:tcBorders>
              <w:left w:val="single" w:sz="4" w:space="0" w:color="000000"/>
              <w:right w:val="single" w:sz="4" w:space="0" w:color="000000"/>
            </w:tcBorders>
          </w:tcPr>
          <w:p>
            <w:pPr>
              <w:pStyle w:val="ConsPlusNormal"/>
              <w:rPr/>
            </w:pPr>
            <w:r>
              <w:rPr/>
            </w:r>
          </w:p>
        </w:tc>
        <w:tc>
          <w:tcPr>
            <w:tcW w:w="4308"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Электрокардиография в покое</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left w:val="single" w:sz="4" w:space="0" w:color="000000"/>
              <w:right w:val="single" w:sz="4" w:space="0" w:color="000000"/>
            </w:tcBorders>
          </w:tcPr>
          <w:p>
            <w:pPr>
              <w:pStyle w:val="ConsPlusNormal"/>
              <w:rPr/>
            </w:pPr>
            <w:r>
              <w:rPr/>
            </w:r>
          </w:p>
        </w:tc>
        <w:tc>
          <w:tcPr>
            <w:tcW w:w="907" w:type="dxa"/>
            <w:vMerge w:val="continue"/>
            <w:tcBorders>
              <w:left w:val="single" w:sz="4" w:space="0" w:color="000000"/>
              <w:right w:val="single" w:sz="4" w:space="0" w:color="000000"/>
            </w:tcBorders>
          </w:tcPr>
          <w:p>
            <w:pPr>
              <w:pStyle w:val="ConsPlusNormal"/>
              <w:rPr/>
            </w:pPr>
            <w:r>
              <w:rPr/>
            </w:r>
          </w:p>
        </w:tc>
        <w:tc>
          <w:tcPr>
            <w:tcW w:w="4308"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Электрокардиография в покое и с физической нагрузкой (военнослужащим, допущенным к выполнению и (или) обеспечению водолазных работ под водой (в барокамере под повышенным давлением)</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left w:val="single" w:sz="4" w:space="0" w:color="000000"/>
              <w:right w:val="single" w:sz="4" w:space="0" w:color="000000"/>
            </w:tcBorders>
          </w:tcPr>
          <w:p>
            <w:pPr>
              <w:pStyle w:val="ConsPlusNormal"/>
              <w:rPr/>
            </w:pPr>
            <w:r>
              <w:rPr/>
            </w:r>
          </w:p>
        </w:tc>
        <w:tc>
          <w:tcPr>
            <w:tcW w:w="907" w:type="dxa"/>
            <w:vMerge w:val="continue"/>
            <w:tcBorders>
              <w:left w:val="single" w:sz="4" w:space="0" w:color="000000"/>
              <w:right w:val="single" w:sz="4" w:space="0" w:color="000000"/>
            </w:tcBorders>
          </w:tcPr>
          <w:p>
            <w:pPr>
              <w:pStyle w:val="ConsPlusNormal"/>
              <w:rPr/>
            </w:pPr>
            <w:r>
              <w:rPr/>
            </w:r>
          </w:p>
        </w:tc>
        <w:tc>
          <w:tcPr>
            <w:tcW w:w="4308"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Маммография обеих молочных желез в двух проекциях с двойным прочтением рентгенограмм и (или) ультразвуковое исследование (далее - УЗИ) молочных желез (женщинам) (маммография не проводится, если в течение предшествующих 12 месяцев проводилась маммография или компьютерная томография молочных желез, а также в случае невозможности проведения исследования по медицинским показаниям в связи с мастэктомией (документально подтвержденное)</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left w:val="single" w:sz="4" w:space="0" w:color="000000"/>
              <w:right w:val="single" w:sz="4" w:space="0" w:color="000000"/>
            </w:tcBorders>
          </w:tcPr>
          <w:p>
            <w:pPr>
              <w:pStyle w:val="ConsPlusNormal"/>
              <w:rPr/>
            </w:pPr>
            <w:r>
              <w:rPr/>
            </w:r>
          </w:p>
        </w:tc>
        <w:tc>
          <w:tcPr>
            <w:tcW w:w="907" w:type="dxa"/>
            <w:vMerge w:val="continue"/>
            <w:tcBorders>
              <w:left w:val="single" w:sz="4" w:space="0" w:color="000000"/>
              <w:right w:val="single" w:sz="4" w:space="0" w:color="000000"/>
            </w:tcBorders>
          </w:tcPr>
          <w:p>
            <w:pPr>
              <w:pStyle w:val="ConsPlusNormal"/>
              <w:rPr/>
            </w:pPr>
            <w:r>
              <w:rPr/>
            </w:r>
          </w:p>
        </w:tc>
        <w:tc>
          <w:tcPr>
            <w:tcW w:w="2892" w:type="dxa"/>
            <w:vMerge w:val="restart"/>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УЗИ органов брюшной полости и малого таза на предмет исключения новообразований (не проводятся, если военнослужащему в год проведения профилактического медицинского осмотра проводилась магнитно-резонансная или компьютерная томография органов брюшной полости (документально подтвержденное)</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УЗИ поджелудочной железы и почек</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left w:val="single" w:sz="4" w:space="0" w:color="000000"/>
              <w:right w:val="single" w:sz="4" w:space="0" w:color="000000"/>
            </w:tcBorders>
          </w:tcPr>
          <w:p>
            <w:pPr>
              <w:pStyle w:val="ConsPlusNormal"/>
              <w:rPr/>
            </w:pPr>
            <w:r>
              <w:rPr/>
            </w:r>
          </w:p>
        </w:tc>
        <w:tc>
          <w:tcPr>
            <w:tcW w:w="907" w:type="dxa"/>
            <w:vMerge w:val="continue"/>
            <w:tcBorders>
              <w:left w:val="single" w:sz="4" w:space="0" w:color="000000"/>
              <w:right w:val="single" w:sz="4" w:space="0" w:color="000000"/>
            </w:tcBorders>
          </w:tcPr>
          <w:p>
            <w:pPr>
              <w:pStyle w:val="ConsPlusNormal"/>
              <w:rPr/>
            </w:pPr>
            <w:r>
              <w:rPr/>
            </w:r>
          </w:p>
        </w:tc>
        <w:tc>
          <w:tcPr>
            <w:tcW w:w="289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УЗИ предстательной железы (мужчинам)</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left w:val="single" w:sz="4" w:space="0" w:color="000000"/>
              <w:right w:val="single" w:sz="4" w:space="0" w:color="000000"/>
            </w:tcBorders>
          </w:tcPr>
          <w:p>
            <w:pPr>
              <w:pStyle w:val="ConsPlusNormal"/>
              <w:rPr/>
            </w:pPr>
            <w:r>
              <w:rPr/>
            </w:r>
          </w:p>
        </w:tc>
        <w:tc>
          <w:tcPr>
            <w:tcW w:w="907" w:type="dxa"/>
            <w:vMerge w:val="continue"/>
            <w:tcBorders>
              <w:left w:val="single" w:sz="4" w:space="0" w:color="000000"/>
              <w:right w:val="single" w:sz="4" w:space="0" w:color="000000"/>
            </w:tcBorders>
          </w:tcPr>
          <w:p>
            <w:pPr>
              <w:pStyle w:val="ConsPlusNormal"/>
              <w:rPr/>
            </w:pPr>
            <w:r>
              <w:rPr/>
            </w:r>
          </w:p>
        </w:tc>
        <w:tc>
          <w:tcPr>
            <w:tcW w:w="289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rPr/>
            </w:pPr>
            <w:r>
              <w:rPr>
                <w:sz w:val="24"/>
              </w:rPr>
              <w:t>УЗИ матки и яичников (женщинам)</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left w:val="single" w:sz="4" w:space="0" w:color="000000"/>
              <w:right w:val="single" w:sz="4" w:space="0" w:color="000000"/>
            </w:tcBorders>
          </w:tcPr>
          <w:p>
            <w:pPr>
              <w:pStyle w:val="ConsPlusNormal"/>
              <w:rPr/>
            </w:pPr>
            <w:r>
              <w:rPr/>
            </w:r>
          </w:p>
        </w:tc>
        <w:tc>
          <w:tcPr>
            <w:tcW w:w="907" w:type="dxa"/>
            <w:vMerge w:val="continue"/>
            <w:tcBorders>
              <w:left w:val="single" w:sz="4" w:space="0" w:color="000000"/>
              <w:right w:val="single" w:sz="4" w:space="0" w:color="000000"/>
            </w:tcBorders>
          </w:tcPr>
          <w:p>
            <w:pPr>
              <w:pStyle w:val="ConsPlusNormal"/>
              <w:rPr/>
            </w:pPr>
            <w:r>
              <w:rPr/>
            </w:r>
          </w:p>
        </w:tc>
        <w:tc>
          <w:tcPr>
            <w:tcW w:w="4308"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Осмотр врачом-хирургом (мужчины осматриваются после получения результатов исследования уровня простатспецифического антигена (ПСА) в крови, УЗИ поджелудочной железы, почек, предстательной железы, женщины - после получения результатов, УЗИ поджелудочной железы, почек, матки и яичников, маммографии и (или) УЗИ молочных желез)</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left w:val="single" w:sz="4" w:space="0" w:color="000000"/>
              <w:right w:val="single" w:sz="4" w:space="0" w:color="000000"/>
            </w:tcBorders>
          </w:tcPr>
          <w:p>
            <w:pPr>
              <w:pStyle w:val="ConsPlusNormal"/>
              <w:rPr/>
            </w:pPr>
            <w:r>
              <w:rPr/>
            </w:r>
          </w:p>
        </w:tc>
        <w:tc>
          <w:tcPr>
            <w:tcW w:w="907" w:type="dxa"/>
            <w:vMerge w:val="continue"/>
            <w:tcBorders>
              <w:left w:val="single" w:sz="4" w:space="0" w:color="000000"/>
              <w:right w:val="single" w:sz="4" w:space="0" w:color="000000"/>
            </w:tcBorders>
          </w:tcPr>
          <w:p>
            <w:pPr>
              <w:pStyle w:val="ConsPlusNormal"/>
              <w:rPr/>
            </w:pPr>
            <w:r>
              <w:rPr/>
            </w:r>
          </w:p>
        </w:tc>
        <w:tc>
          <w:tcPr>
            <w:tcW w:w="4308"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Осмотр врачом-неврологом</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left w:val="single" w:sz="4" w:space="0" w:color="000000"/>
              <w:right w:val="single" w:sz="4" w:space="0" w:color="000000"/>
            </w:tcBorders>
          </w:tcPr>
          <w:p>
            <w:pPr>
              <w:pStyle w:val="ConsPlusNormal"/>
              <w:rPr/>
            </w:pPr>
            <w:r>
              <w:rPr/>
            </w:r>
          </w:p>
        </w:tc>
        <w:tc>
          <w:tcPr>
            <w:tcW w:w="907" w:type="dxa"/>
            <w:vMerge w:val="continue"/>
            <w:tcBorders>
              <w:left w:val="single" w:sz="4" w:space="0" w:color="000000"/>
              <w:right w:val="single" w:sz="4" w:space="0" w:color="000000"/>
            </w:tcBorders>
          </w:tcPr>
          <w:p>
            <w:pPr>
              <w:pStyle w:val="ConsPlusNormal"/>
              <w:rPr/>
            </w:pPr>
            <w:r>
              <w:rPr/>
            </w:r>
          </w:p>
        </w:tc>
        <w:tc>
          <w:tcPr>
            <w:tcW w:w="4308"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Осмотр врачом-офтальмологом, включая проведение визометрии, офтальмоскопии, биомикроскопии и тонометрии глаза</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left w:val="single" w:sz="4" w:space="0" w:color="000000"/>
              <w:right w:val="single" w:sz="4" w:space="0" w:color="000000"/>
            </w:tcBorders>
          </w:tcPr>
          <w:p>
            <w:pPr>
              <w:pStyle w:val="ConsPlusNormal"/>
              <w:rPr/>
            </w:pPr>
            <w:r>
              <w:rPr/>
            </w:r>
          </w:p>
        </w:tc>
        <w:tc>
          <w:tcPr>
            <w:tcW w:w="907" w:type="dxa"/>
            <w:vMerge w:val="continue"/>
            <w:tcBorders>
              <w:left w:val="single" w:sz="4" w:space="0" w:color="000000"/>
              <w:right w:val="single" w:sz="4" w:space="0" w:color="000000"/>
            </w:tcBorders>
          </w:tcPr>
          <w:p>
            <w:pPr>
              <w:pStyle w:val="ConsPlusNormal"/>
              <w:rPr/>
            </w:pPr>
            <w:r>
              <w:rPr/>
            </w:r>
          </w:p>
        </w:tc>
        <w:tc>
          <w:tcPr>
            <w:tcW w:w="4308"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Осмотр врачом-оториноларингологом, включая проведение фарингоскопии, риноскопии, отоскопии, исследование слуха шепотной речью</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left w:val="single" w:sz="4" w:space="0" w:color="000000"/>
              <w:right w:val="single" w:sz="4" w:space="0" w:color="000000"/>
            </w:tcBorders>
          </w:tcPr>
          <w:p>
            <w:pPr>
              <w:pStyle w:val="ConsPlusNormal"/>
              <w:rPr/>
            </w:pPr>
            <w:r>
              <w:rPr/>
            </w:r>
          </w:p>
        </w:tc>
        <w:tc>
          <w:tcPr>
            <w:tcW w:w="907" w:type="dxa"/>
            <w:vMerge w:val="continue"/>
            <w:tcBorders>
              <w:left w:val="single" w:sz="4" w:space="0" w:color="000000"/>
              <w:right w:val="single" w:sz="4" w:space="0" w:color="000000"/>
            </w:tcBorders>
          </w:tcPr>
          <w:p>
            <w:pPr>
              <w:pStyle w:val="ConsPlusNormal"/>
              <w:rPr/>
            </w:pPr>
            <w:r>
              <w:rPr/>
            </w:r>
          </w:p>
        </w:tc>
        <w:tc>
          <w:tcPr>
            <w:tcW w:w="4308"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Осмотр врачом-стоматологом</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restart"/>
            <w:tcBorders>
              <w:left w:val="single" w:sz="4" w:space="0" w:color="000000"/>
              <w:bottom w:val="single" w:sz="4" w:space="0" w:color="000000"/>
              <w:right w:val="single" w:sz="4" w:space="0" w:color="000000"/>
            </w:tcBorders>
            <w:vAlign w:val="center"/>
          </w:tcPr>
          <w:p>
            <w:pPr>
              <w:pStyle w:val="ConsPlusNormal"/>
              <w:jc w:val="center"/>
              <w:rPr/>
            </w:pPr>
            <w:r>
              <w:rPr>
                <w:sz w:val="24"/>
              </w:rPr>
              <w:t>Диспансеризация</w:t>
            </w:r>
          </w:p>
        </w:tc>
        <w:tc>
          <w:tcPr>
            <w:tcW w:w="907" w:type="dxa"/>
            <w:vMerge w:val="restart"/>
            <w:tcBorders>
              <w:left w:val="single" w:sz="4" w:space="0" w:color="000000"/>
              <w:bottom w:val="single" w:sz="4" w:space="0" w:color="000000"/>
              <w:right w:val="single" w:sz="4" w:space="0" w:color="000000"/>
            </w:tcBorders>
            <w:vAlign w:val="center"/>
          </w:tcPr>
          <w:p>
            <w:pPr>
              <w:pStyle w:val="ConsPlusNormal"/>
              <w:jc w:val="center"/>
              <w:rPr/>
            </w:pPr>
            <w:r>
              <w:rPr>
                <w:sz w:val="24"/>
              </w:rPr>
              <w:t>Профилактический медицинский осмотр</w:t>
            </w:r>
          </w:p>
        </w:tc>
        <w:tc>
          <w:tcPr>
            <w:tcW w:w="4308"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Осмотр врачом-психиатром (осмотр проводится при наличии справки о результатах химико-токсикологических исследований (далее - ХТИ) (информации о результатах ХТИ), представляемой военнослужащими (медицинскими подразделениями воинских частей (организаций), к которым военнослужащие прикреплены на медицинское обеспечение), а лицо, находящееся под диспансерным наблюдением по поводу психического расстройства, осматривается врачом-психиатром при наличии служебной и медицинской характеристик с места службы, заключения психолога воинской части (организации) (психологическая характеристика), в которых отражаются результаты индивидуальной оценки служебной деятельности военнослужащего за период наблюдения и влияние состояния здоровья военнослужащего на возможность исполнять обязанности военной службы)</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left w:val="single" w:sz="4" w:space="0" w:color="000000"/>
              <w:bottom w:val="single" w:sz="4" w:space="0" w:color="000000"/>
              <w:right w:val="single" w:sz="4" w:space="0" w:color="000000"/>
            </w:tcBorders>
          </w:tcPr>
          <w:p>
            <w:pPr>
              <w:pStyle w:val="ConsPlusNormal"/>
              <w:rPr/>
            </w:pPr>
            <w:r>
              <w:rPr/>
            </w:r>
          </w:p>
        </w:tc>
        <w:tc>
          <w:tcPr>
            <w:tcW w:w="907" w:type="dxa"/>
            <w:vMerge w:val="continue"/>
            <w:tcBorders>
              <w:left w:val="single" w:sz="4" w:space="0" w:color="000000"/>
              <w:bottom w:val="single" w:sz="4" w:space="0" w:color="000000"/>
              <w:right w:val="single" w:sz="4" w:space="0" w:color="000000"/>
            </w:tcBorders>
          </w:tcPr>
          <w:p>
            <w:pPr>
              <w:pStyle w:val="ConsPlusNormal"/>
              <w:rPr/>
            </w:pPr>
            <w:r>
              <w:rPr/>
            </w:r>
          </w:p>
        </w:tc>
        <w:tc>
          <w:tcPr>
            <w:tcW w:w="4308"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Осмотр врачом-дерматовенерологом (военнослужащим, допущенным к выполнению и (или) обеспечению водолазных работ под водой (в барокамере под повышенным давлением)</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left w:val="single" w:sz="4" w:space="0" w:color="000000"/>
              <w:bottom w:val="single" w:sz="4" w:space="0" w:color="000000"/>
              <w:right w:val="single" w:sz="4" w:space="0" w:color="000000"/>
            </w:tcBorders>
          </w:tcPr>
          <w:p>
            <w:pPr>
              <w:pStyle w:val="ConsPlusNormal"/>
              <w:rPr/>
            </w:pPr>
            <w:r>
              <w:rPr/>
            </w:r>
          </w:p>
        </w:tc>
        <w:tc>
          <w:tcPr>
            <w:tcW w:w="907" w:type="dxa"/>
            <w:vMerge w:val="continue"/>
            <w:tcBorders>
              <w:left w:val="single" w:sz="4" w:space="0" w:color="000000"/>
              <w:bottom w:val="single" w:sz="4" w:space="0" w:color="000000"/>
              <w:right w:val="single" w:sz="4" w:space="0" w:color="000000"/>
            </w:tcBorders>
          </w:tcPr>
          <w:p>
            <w:pPr>
              <w:pStyle w:val="ConsPlusNormal"/>
              <w:rPr/>
            </w:pPr>
            <w:r>
              <w:rPr/>
            </w:r>
          </w:p>
        </w:tc>
        <w:tc>
          <w:tcPr>
            <w:tcW w:w="4308"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Осмотр врачом-акушером-гинекологом, включая визуальное исследование и пальпацию молочных желез, визуальный осмотр наружных половых органов, осмотр влагалища и шейки матки в зеркалах, взятие мазка (соскоба) с поверхности шейки матки (наружного маточного зева) и цервикального канала на цитологическое исследование (далее - мазок с шейки матки) (за исключением случаев невозможности проведения исследования по медицинским показаниям в связи с экстирпацией матки, virgo) с последующим цитологическим исследованием мазка с шейки матки, бимануальное влагалищное исследование (бимануальное ректоабдоминальное исследование - для женщин, не начавших половую жизнь) (женщинам)</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left w:val="single" w:sz="4" w:space="0" w:color="000000"/>
              <w:bottom w:val="single" w:sz="4" w:space="0" w:color="000000"/>
              <w:right w:val="single" w:sz="4" w:space="0" w:color="000000"/>
            </w:tcBorders>
          </w:tcPr>
          <w:p>
            <w:pPr>
              <w:pStyle w:val="ConsPlusNormal"/>
              <w:rPr/>
            </w:pPr>
            <w:r>
              <w:rPr/>
            </w:r>
          </w:p>
        </w:tc>
        <w:tc>
          <w:tcPr>
            <w:tcW w:w="907" w:type="dxa"/>
            <w:vMerge w:val="continue"/>
            <w:tcBorders>
              <w:left w:val="single" w:sz="4" w:space="0" w:color="000000"/>
              <w:bottom w:val="single" w:sz="4" w:space="0" w:color="000000"/>
              <w:right w:val="single" w:sz="4" w:space="0" w:color="000000"/>
            </w:tcBorders>
          </w:tcPr>
          <w:p>
            <w:pPr>
              <w:pStyle w:val="ConsPlusNormal"/>
              <w:rPr/>
            </w:pPr>
            <w:r>
              <w:rPr/>
            </w:r>
          </w:p>
        </w:tc>
        <w:tc>
          <w:tcPr>
            <w:tcW w:w="4308"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Осмотр врачом-терапевтом и (или) врачом общей практики (семейным врачом), включая установление (уточнение) диагноза, определение (уточнение) группы состояния здоровья, группы диспансерного наблюдения, проведение краткого профилактического консультирования (с учетом заключений врачей-специалистов), в том числе рекомендации по здоровому питанию, уровню физической активности, отказу от курения табака и пагубного потребления алкоголя; направление на медицинское обследование, не входящее в объем диспансеризации, лечение в амбулаторных условиях или стационарных условиях, а также санаторно-курортное лечение (при наличии медицинских показаний)</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40"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39"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565" w:type="dxa"/>
            <w:vMerge w:val="continue"/>
            <w:tcBorders>
              <w:left w:val="single" w:sz="4" w:space="0" w:color="000000"/>
              <w:bottom w:val="single" w:sz="4" w:space="0" w:color="000000"/>
              <w:right w:val="single" w:sz="4" w:space="0" w:color="000000"/>
            </w:tcBorders>
          </w:tcPr>
          <w:p>
            <w:pPr>
              <w:pStyle w:val="ConsPlusNormal"/>
              <w:rPr/>
            </w:pPr>
            <w:r>
              <w:rPr/>
            </w:r>
          </w:p>
        </w:tc>
        <w:tc>
          <w:tcPr>
            <w:tcW w:w="907" w:type="dxa"/>
            <w:tcBorders>
              <w:top w:val="single" w:sz="4" w:space="0" w:color="000000"/>
              <w:left w:val="single" w:sz="4" w:space="0" w:color="000000"/>
              <w:bottom w:val="single" w:sz="4" w:space="0" w:color="000000"/>
            </w:tcBorders>
            <w:vAlign w:val="center"/>
          </w:tcPr>
          <w:p>
            <w:pPr>
              <w:pStyle w:val="ConsPlusNormal"/>
              <w:rPr/>
            </w:pPr>
            <w:r>
              <w:rPr/>
            </w:r>
          </w:p>
        </w:tc>
        <w:tc>
          <w:tcPr>
            <w:tcW w:w="4308" w:type="dxa"/>
            <w:gridSpan w:val="2"/>
            <w:tcBorders>
              <w:top w:val="single" w:sz="4" w:space="0" w:color="000000"/>
              <w:bottom w:val="single" w:sz="4" w:space="0" w:color="000000"/>
              <w:right w:val="single" w:sz="4" w:space="0" w:color="000000"/>
            </w:tcBorders>
          </w:tcPr>
          <w:p>
            <w:pPr>
              <w:pStyle w:val="ConsPlusNormal"/>
              <w:jc w:val="both"/>
              <w:rPr/>
            </w:pPr>
            <w:r>
              <w:rPr>
                <w:sz w:val="24"/>
              </w:rPr>
              <w:t>Дополнительные обследования и осмотры врачами-специалистами по профилю имеющегося у военнослужащего хронического неинфекционного заболевания (военнослужащим, находящимся под диспансерным наблюдением)</w:t>
            </w:r>
          </w:p>
        </w:tc>
        <w:tc>
          <w:tcPr>
            <w:tcW w:w="7819" w:type="dxa"/>
            <w:gridSpan w:val="23"/>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в соответствии с индивидуальным планом проведения диспансеризации</w:t>
            </w:r>
          </w:p>
        </w:tc>
      </w:tr>
    </w:tbl>
    <w:p>
      <w:pPr>
        <w:sectPr>
          <w:headerReference w:type="even" r:id="rId13"/>
          <w:headerReference w:type="default" r:id="rId14"/>
          <w:headerReference w:type="first" r:id="rId15"/>
          <w:footerReference w:type="even" r:id="rId16"/>
          <w:footerReference w:type="default" r:id="rId17"/>
          <w:footerReference w:type="first" r:id="rId18"/>
          <w:type w:val="nextPage"/>
          <w:pgSz w:orient="landscape" w:w="16838" w:h="11906"/>
          <w:pgMar w:left="1440" w:right="1440" w:gutter="0" w:header="0" w:top="1133" w:footer="0" w:bottom="566"/>
          <w:pgNumType w:fmt="decimal"/>
          <w:formProt w:val="false"/>
          <w:titlePg/>
          <w:textDirection w:val="lrTb"/>
          <w:docGrid w:type="default" w:linePitch="100" w:charSpace="8192"/>
        </w:sectPr>
      </w:pPr>
    </w:p>
    <w:p>
      <w:pPr>
        <w:pStyle w:val="ConsPlusNormal"/>
        <w:jc w:val="both"/>
        <w:rPr/>
      </w:pPr>
      <w:r>
        <w:rPr/>
      </w:r>
      <w:bookmarkStart w:id="15" w:name="P997"/>
      <w:bookmarkStart w:id="16" w:name="P997"/>
      <w:bookmarkEnd w:id="16"/>
    </w:p>
    <w:p>
      <w:pPr>
        <w:pStyle w:val="ConsPlusTitle"/>
        <w:numPr>
          <w:ilvl w:val="0"/>
          <w:numId w:val="0"/>
        </w:numPr>
        <w:ind w:firstLine="540"/>
        <w:jc w:val="both"/>
        <w:outlineLvl w:val="1"/>
        <w:rPr/>
      </w:pPr>
      <w:bookmarkStart w:id="17" w:name="P997"/>
      <w:bookmarkEnd w:id="17"/>
      <w:r>
        <w:rPr>
          <w:sz w:val="24"/>
        </w:rPr>
        <w:t>III. Перечень исследований, которые проводятся военнослужащим, проходящим военную службу по контракту, в возрасте от 41 до 65 лет при прохождении ими диспансеризации</w:t>
      </w:r>
    </w:p>
    <w:p>
      <w:pPr>
        <w:pStyle w:val="ConsPlusNormal"/>
        <w:jc w:val="both"/>
        <w:rPr/>
      </w:pPr>
      <w:r>
        <w:rPr/>
      </w:r>
    </w:p>
    <w:tbl>
      <w:tblPr>
        <w:tblW w:w="5000" w:type="pct"/>
        <w:jc w:val="left"/>
        <w:tblInd w:w="67" w:type="dxa"/>
        <w:tblLayout w:type="fixed"/>
        <w:tblCellMar>
          <w:top w:w="102" w:type="dxa"/>
          <w:left w:w="62" w:type="dxa"/>
          <w:bottom w:w="102" w:type="dxa"/>
          <w:right w:w="62" w:type="dxa"/>
        </w:tblCellMar>
      </w:tblPr>
      <w:tblGrid>
        <w:gridCol w:w="635"/>
        <w:gridCol w:w="1018"/>
        <w:gridCol w:w="3249"/>
        <w:gridCol w:w="1592"/>
        <w:gridCol w:w="382"/>
        <w:gridCol w:w="382"/>
        <w:gridCol w:w="381"/>
        <w:gridCol w:w="382"/>
        <w:gridCol w:w="382"/>
        <w:gridCol w:w="384"/>
        <w:gridCol w:w="382"/>
        <w:gridCol w:w="381"/>
        <w:gridCol w:w="382"/>
        <w:gridCol w:w="382"/>
        <w:gridCol w:w="382"/>
        <w:gridCol w:w="382"/>
        <w:gridCol w:w="382"/>
        <w:gridCol w:w="381"/>
        <w:gridCol w:w="382"/>
        <w:gridCol w:w="382"/>
        <w:gridCol w:w="382"/>
        <w:gridCol w:w="382"/>
        <w:gridCol w:w="383"/>
        <w:gridCol w:w="382"/>
        <w:gridCol w:w="382"/>
        <w:gridCol w:w="382"/>
        <w:gridCol w:w="382"/>
        <w:gridCol w:w="382"/>
        <w:gridCol w:w="376"/>
      </w:tblGrid>
      <w:tr>
        <w:trPr/>
        <w:tc>
          <w:tcPr>
            <w:tcW w:w="1653"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ConsPlusNormal"/>
              <w:rPr/>
            </w:pPr>
            <w:r>
              <w:rPr/>
            </w:r>
          </w:p>
        </w:tc>
        <w:tc>
          <w:tcPr>
            <w:tcW w:w="4841"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Осмотр, исследование, мероприятие</w:t>
            </w:r>
          </w:p>
        </w:tc>
        <w:tc>
          <w:tcPr>
            <w:tcW w:w="9544" w:type="dxa"/>
            <w:gridSpan w:val="25"/>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Возраст</w:t>
            </w:r>
          </w:p>
        </w:tc>
      </w:tr>
      <w:tr>
        <w:trPr/>
        <w:tc>
          <w:tcPr>
            <w:tcW w:w="1653"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4841"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41</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42</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43</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44</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45</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46</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47</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48</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49</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50</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51</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52</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53</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54</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55</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56</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57</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58</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59</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60</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61</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62</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63</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64</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65</w:t>
            </w:r>
          </w:p>
        </w:tc>
      </w:tr>
      <w:tr>
        <w:trPr/>
        <w:tc>
          <w:tcPr>
            <w:tcW w:w="635" w:type="dxa"/>
            <w:vMerge w:val="restart"/>
            <w:tcBorders>
              <w:top w:val="single" w:sz="4" w:space="0" w:color="000000"/>
              <w:left w:val="single" w:sz="4" w:space="0" w:color="000000"/>
              <w:right w:val="single" w:sz="4" w:space="0" w:color="000000"/>
            </w:tcBorders>
            <w:vAlign w:val="center"/>
          </w:tcPr>
          <w:p>
            <w:pPr>
              <w:pStyle w:val="ConsPlusNormal"/>
              <w:jc w:val="center"/>
              <w:rPr/>
            </w:pPr>
            <w:r>
              <w:rPr>
                <w:sz w:val="24"/>
              </w:rPr>
              <w:t>Диспансеризация</w:t>
            </w:r>
          </w:p>
        </w:tc>
        <w:tc>
          <w:tcPr>
            <w:tcW w:w="1018" w:type="dxa"/>
            <w:vMerge w:val="restart"/>
            <w:tcBorders>
              <w:top w:val="single" w:sz="4" w:space="0" w:color="000000"/>
              <w:left w:val="single" w:sz="4" w:space="0" w:color="000000"/>
              <w:right w:val="single" w:sz="4" w:space="0" w:color="000000"/>
            </w:tcBorders>
            <w:vAlign w:val="center"/>
          </w:tcPr>
          <w:p>
            <w:pPr>
              <w:pStyle w:val="ConsPlusNormal"/>
              <w:jc w:val="center"/>
              <w:rPr/>
            </w:pPr>
            <w:r>
              <w:rPr>
                <w:sz w:val="24"/>
              </w:rPr>
              <w:t>Профилактический медицинский осмотр</w:t>
            </w:r>
          </w:p>
        </w:tc>
        <w:tc>
          <w:tcPr>
            <w:tcW w:w="4841"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Опрос (анкетирование) в целях сбора анамнеза (при первичном обследовании) и жалоб, выявления признаков хронических неинфекционных заболеваний и определение факторов риска их развития, выявления факторов потребления наркотических средств и (или) психотропных веществ без назначения врача либо новых потенциально опасных психоактивных веществ</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continue"/>
            <w:tcBorders>
              <w:top w:val="single" w:sz="4" w:space="0" w:color="000000"/>
              <w:left w:val="single" w:sz="4" w:space="0" w:color="000000"/>
              <w:right w:val="single" w:sz="4" w:space="0" w:color="000000"/>
            </w:tcBorders>
          </w:tcPr>
          <w:p>
            <w:pPr>
              <w:pStyle w:val="ConsPlusNormal"/>
              <w:rPr/>
            </w:pPr>
            <w:r>
              <w:rPr/>
            </w:r>
          </w:p>
        </w:tc>
        <w:tc>
          <w:tcPr>
            <w:tcW w:w="1018" w:type="dxa"/>
            <w:vMerge w:val="continue"/>
            <w:tcBorders>
              <w:top w:val="single" w:sz="4" w:space="0" w:color="000000"/>
              <w:left w:val="single" w:sz="4" w:space="0" w:color="000000"/>
              <w:right w:val="single" w:sz="4" w:space="0" w:color="000000"/>
            </w:tcBorders>
          </w:tcPr>
          <w:p>
            <w:pPr>
              <w:pStyle w:val="ConsPlusNormal"/>
              <w:rPr/>
            </w:pPr>
            <w:r>
              <w:rPr/>
            </w:r>
          </w:p>
        </w:tc>
        <w:tc>
          <w:tcPr>
            <w:tcW w:w="4841"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Антропометрия (измерение массы тела, роста, окружности грудной клетки и талии), расчет индекса массы тела, динамометрия</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continue"/>
            <w:tcBorders>
              <w:top w:val="single" w:sz="4" w:space="0" w:color="000000"/>
              <w:left w:val="single" w:sz="4" w:space="0" w:color="000000"/>
              <w:right w:val="single" w:sz="4" w:space="0" w:color="000000"/>
            </w:tcBorders>
          </w:tcPr>
          <w:p>
            <w:pPr>
              <w:pStyle w:val="ConsPlusNormal"/>
              <w:rPr/>
            </w:pPr>
            <w:r>
              <w:rPr/>
            </w:r>
          </w:p>
        </w:tc>
        <w:tc>
          <w:tcPr>
            <w:tcW w:w="1018" w:type="dxa"/>
            <w:vMerge w:val="continue"/>
            <w:tcBorders>
              <w:top w:val="single" w:sz="4" w:space="0" w:color="000000"/>
              <w:left w:val="single" w:sz="4" w:space="0" w:color="000000"/>
              <w:right w:val="single" w:sz="4" w:space="0" w:color="000000"/>
            </w:tcBorders>
          </w:tcPr>
          <w:p>
            <w:pPr>
              <w:pStyle w:val="ConsPlusNormal"/>
              <w:rPr/>
            </w:pPr>
            <w:r>
              <w:rPr/>
            </w:r>
          </w:p>
        </w:tc>
        <w:tc>
          <w:tcPr>
            <w:tcW w:w="4841"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Исследование дыхательной функции (спирометрия и (или) спирография)</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continue"/>
            <w:tcBorders>
              <w:top w:val="single" w:sz="4" w:space="0" w:color="000000"/>
              <w:left w:val="single" w:sz="4" w:space="0" w:color="000000"/>
              <w:right w:val="single" w:sz="4" w:space="0" w:color="000000"/>
            </w:tcBorders>
          </w:tcPr>
          <w:p>
            <w:pPr>
              <w:pStyle w:val="ConsPlusNormal"/>
              <w:rPr/>
            </w:pPr>
            <w:r>
              <w:rPr/>
            </w:r>
          </w:p>
        </w:tc>
        <w:tc>
          <w:tcPr>
            <w:tcW w:w="1018" w:type="dxa"/>
            <w:vMerge w:val="continue"/>
            <w:tcBorders>
              <w:top w:val="single" w:sz="4" w:space="0" w:color="000000"/>
              <w:left w:val="single" w:sz="4" w:space="0" w:color="000000"/>
              <w:right w:val="single" w:sz="4" w:space="0" w:color="000000"/>
            </w:tcBorders>
          </w:tcPr>
          <w:p>
            <w:pPr>
              <w:pStyle w:val="ConsPlusNormal"/>
              <w:rPr/>
            </w:pPr>
            <w:r>
              <w:rPr/>
            </w:r>
          </w:p>
        </w:tc>
        <w:tc>
          <w:tcPr>
            <w:tcW w:w="4841"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Измерение артериального давления на периферических артериях</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continue"/>
            <w:tcBorders>
              <w:top w:val="single" w:sz="4" w:space="0" w:color="000000"/>
              <w:left w:val="single" w:sz="4" w:space="0" w:color="000000"/>
              <w:right w:val="single" w:sz="4" w:space="0" w:color="000000"/>
            </w:tcBorders>
          </w:tcPr>
          <w:p>
            <w:pPr>
              <w:pStyle w:val="ConsPlusNormal"/>
              <w:rPr/>
            </w:pPr>
            <w:r>
              <w:rPr/>
            </w:r>
          </w:p>
        </w:tc>
        <w:tc>
          <w:tcPr>
            <w:tcW w:w="1018" w:type="dxa"/>
            <w:vMerge w:val="continue"/>
            <w:tcBorders>
              <w:top w:val="single" w:sz="4" w:space="0" w:color="000000"/>
              <w:left w:val="single" w:sz="4" w:space="0" w:color="000000"/>
              <w:right w:val="single" w:sz="4" w:space="0" w:color="000000"/>
            </w:tcBorders>
          </w:tcPr>
          <w:p>
            <w:pPr>
              <w:pStyle w:val="ConsPlusNormal"/>
              <w:rPr/>
            </w:pPr>
            <w:r>
              <w:rPr/>
            </w:r>
          </w:p>
        </w:tc>
        <w:tc>
          <w:tcPr>
            <w:tcW w:w="4841"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Измерение внутриглазного давления</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continue"/>
            <w:tcBorders>
              <w:top w:val="single" w:sz="4" w:space="0" w:color="000000"/>
              <w:left w:val="single" w:sz="4" w:space="0" w:color="000000"/>
              <w:right w:val="single" w:sz="4" w:space="0" w:color="000000"/>
            </w:tcBorders>
          </w:tcPr>
          <w:p>
            <w:pPr>
              <w:pStyle w:val="ConsPlusNormal"/>
              <w:rPr/>
            </w:pPr>
            <w:r>
              <w:rPr/>
            </w:r>
          </w:p>
        </w:tc>
        <w:tc>
          <w:tcPr>
            <w:tcW w:w="1018" w:type="dxa"/>
            <w:vMerge w:val="continue"/>
            <w:tcBorders>
              <w:top w:val="single" w:sz="4" w:space="0" w:color="000000"/>
              <w:left w:val="single" w:sz="4" w:space="0" w:color="000000"/>
              <w:right w:val="single" w:sz="4" w:space="0" w:color="000000"/>
            </w:tcBorders>
          </w:tcPr>
          <w:p>
            <w:pPr>
              <w:pStyle w:val="ConsPlusNormal"/>
              <w:rPr/>
            </w:pPr>
            <w:r>
              <w:rPr/>
            </w:r>
          </w:p>
        </w:tc>
        <w:tc>
          <w:tcPr>
            <w:tcW w:w="4841"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Общий (клинический) анализ крови развернутый</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continue"/>
            <w:tcBorders>
              <w:top w:val="single" w:sz="4" w:space="0" w:color="000000"/>
              <w:left w:val="single" w:sz="4" w:space="0" w:color="000000"/>
              <w:right w:val="single" w:sz="4" w:space="0" w:color="000000"/>
            </w:tcBorders>
          </w:tcPr>
          <w:p>
            <w:pPr>
              <w:pStyle w:val="ConsPlusNormal"/>
              <w:rPr/>
            </w:pPr>
            <w:r>
              <w:rPr/>
            </w:r>
          </w:p>
        </w:tc>
        <w:tc>
          <w:tcPr>
            <w:tcW w:w="1018" w:type="dxa"/>
            <w:vMerge w:val="continue"/>
            <w:tcBorders>
              <w:top w:val="single" w:sz="4" w:space="0" w:color="000000"/>
              <w:left w:val="single" w:sz="4" w:space="0" w:color="000000"/>
              <w:right w:val="single" w:sz="4" w:space="0" w:color="000000"/>
            </w:tcBorders>
          </w:tcPr>
          <w:p>
            <w:pPr>
              <w:pStyle w:val="ConsPlusNormal"/>
              <w:rPr/>
            </w:pPr>
            <w:r>
              <w:rPr/>
            </w:r>
          </w:p>
        </w:tc>
        <w:tc>
          <w:tcPr>
            <w:tcW w:w="4841"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Общий (клинический) анализ мочи</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continue"/>
            <w:tcBorders>
              <w:top w:val="single" w:sz="4" w:space="0" w:color="000000"/>
              <w:left w:val="single" w:sz="4" w:space="0" w:color="000000"/>
              <w:right w:val="single" w:sz="4" w:space="0" w:color="000000"/>
            </w:tcBorders>
          </w:tcPr>
          <w:p>
            <w:pPr>
              <w:pStyle w:val="ConsPlusNormal"/>
              <w:rPr/>
            </w:pPr>
            <w:r>
              <w:rPr/>
            </w:r>
          </w:p>
        </w:tc>
        <w:tc>
          <w:tcPr>
            <w:tcW w:w="1018" w:type="dxa"/>
            <w:vMerge w:val="continue"/>
            <w:tcBorders>
              <w:top w:val="single" w:sz="4" w:space="0" w:color="000000"/>
              <w:left w:val="single" w:sz="4" w:space="0" w:color="000000"/>
              <w:right w:val="single" w:sz="4" w:space="0" w:color="000000"/>
            </w:tcBorders>
          </w:tcPr>
          <w:p>
            <w:pPr>
              <w:pStyle w:val="ConsPlusNormal"/>
              <w:rPr/>
            </w:pPr>
            <w:r>
              <w:rPr/>
            </w:r>
          </w:p>
        </w:tc>
        <w:tc>
          <w:tcPr>
            <w:tcW w:w="4841"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Определение уровня глюкозы в крови (допускается использование экспресс-метода)</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continue"/>
            <w:tcBorders>
              <w:top w:val="single" w:sz="4" w:space="0" w:color="000000"/>
              <w:left w:val="single" w:sz="4" w:space="0" w:color="000000"/>
              <w:right w:val="single" w:sz="4" w:space="0" w:color="000000"/>
            </w:tcBorders>
          </w:tcPr>
          <w:p>
            <w:pPr>
              <w:pStyle w:val="ConsPlusNormal"/>
              <w:rPr/>
            </w:pPr>
            <w:r>
              <w:rPr/>
            </w:r>
          </w:p>
        </w:tc>
        <w:tc>
          <w:tcPr>
            <w:tcW w:w="1018" w:type="dxa"/>
            <w:vMerge w:val="continue"/>
            <w:tcBorders>
              <w:top w:val="single" w:sz="4" w:space="0" w:color="000000"/>
              <w:left w:val="single" w:sz="4" w:space="0" w:color="000000"/>
              <w:right w:val="single" w:sz="4" w:space="0" w:color="000000"/>
            </w:tcBorders>
          </w:tcPr>
          <w:p>
            <w:pPr>
              <w:pStyle w:val="ConsPlusNormal"/>
              <w:rPr/>
            </w:pPr>
            <w:r>
              <w:rPr/>
            </w:r>
          </w:p>
        </w:tc>
        <w:tc>
          <w:tcPr>
            <w:tcW w:w="4841"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Анализ крови биохимический общетерапевтический (в объеме определения уровня креатинина, мочевины, общего и прямого билирубина, аспартат-аминотрансаминазы, аланин-аминотрансаминазы, глюкозы, общего холестерина, липопротеиды высокой плотности)</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continue"/>
            <w:tcBorders>
              <w:top w:val="single" w:sz="4" w:space="0" w:color="000000"/>
              <w:left w:val="single" w:sz="4" w:space="0" w:color="000000"/>
              <w:right w:val="single" w:sz="4" w:space="0" w:color="000000"/>
            </w:tcBorders>
          </w:tcPr>
          <w:p>
            <w:pPr>
              <w:pStyle w:val="ConsPlusNormal"/>
              <w:rPr/>
            </w:pPr>
            <w:r>
              <w:rPr/>
            </w:r>
          </w:p>
        </w:tc>
        <w:tc>
          <w:tcPr>
            <w:tcW w:w="1018" w:type="dxa"/>
            <w:vMerge w:val="continue"/>
            <w:tcBorders>
              <w:top w:val="single" w:sz="4" w:space="0" w:color="000000"/>
              <w:left w:val="single" w:sz="4" w:space="0" w:color="000000"/>
              <w:right w:val="single" w:sz="4" w:space="0" w:color="000000"/>
            </w:tcBorders>
          </w:tcPr>
          <w:p>
            <w:pPr>
              <w:pStyle w:val="ConsPlusNormal"/>
              <w:rPr/>
            </w:pPr>
            <w:r>
              <w:rPr/>
            </w:r>
          </w:p>
        </w:tc>
        <w:tc>
          <w:tcPr>
            <w:tcW w:w="4841"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Исследование кала на скрытую кровь иммунохимическим качественным или количественным методом</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continue"/>
            <w:tcBorders>
              <w:top w:val="single" w:sz="4" w:space="0" w:color="000000"/>
              <w:left w:val="single" w:sz="4" w:space="0" w:color="000000"/>
              <w:right w:val="single" w:sz="4" w:space="0" w:color="000000"/>
            </w:tcBorders>
          </w:tcPr>
          <w:p>
            <w:pPr>
              <w:pStyle w:val="ConsPlusNormal"/>
              <w:rPr/>
            </w:pPr>
            <w:r>
              <w:rPr/>
            </w:r>
          </w:p>
        </w:tc>
        <w:tc>
          <w:tcPr>
            <w:tcW w:w="1018" w:type="dxa"/>
            <w:vMerge w:val="continue"/>
            <w:tcBorders>
              <w:top w:val="single" w:sz="4" w:space="0" w:color="000000"/>
              <w:left w:val="single" w:sz="4" w:space="0" w:color="000000"/>
              <w:right w:val="single" w:sz="4" w:space="0" w:color="000000"/>
            </w:tcBorders>
          </w:tcPr>
          <w:p>
            <w:pPr>
              <w:pStyle w:val="ConsPlusNormal"/>
              <w:rPr/>
            </w:pPr>
            <w:r>
              <w:rPr/>
            </w:r>
          </w:p>
        </w:tc>
        <w:tc>
          <w:tcPr>
            <w:tcW w:w="4841"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Исследование уровня простатспецифического антигена (ПСА) в крови (мужчинам)</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continue"/>
            <w:tcBorders>
              <w:top w:val="single" w:sz="4" w:space="0" w:color="000000"/>
              <w:left w:val="single" w:sz="4" w:space="0" w:color="000000"/>
              <w:right w:val="single" w:sz="4" w:space="0" w:color="000000"/>
            </w:tcBorders>
          </w:tcPr>
          <w:p>
            <w:pPr>
              <w:pStyle w:val="ConsPlusNormal"/>
              <w:rPr/>
            </w:pPr>
            <w:r>
              <w:rPr/>
            </w:r>
          </w:p>
        </w:tc>
        <w:tc>
          <w:tcPr>
            <w:tcW w:w="1018" w:type="dxa"/>
            <w:vMerge w:val="continue"/>
            <w:tcBorders>
              <w:top w:val="single" w:sz="4" w:space="0" w:color="000000"/>
              <w:left w:val="single" w:sz="4" w:space="0" w:color="000000"/>
              <w:right w:val="single" w:sz="4" w:space="0" w:color="000000"/>
            </w:tcBorders>
          </w:tcPr>
          <w:p>
            <w:pPr>
              <w:pStyle w:val="ConsPlusNormal"/>
              <w:rPr/>
            </w:pPr>
            <w:r>
              <w:rPr/>
            </w:r>
          </w:p>
        </w:tc>
        <w:tc>
          <w:tcPr>
            <w:tcW w:w="4841"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Определение абсолютного суммарного сердечно-сосудистого риска по шкале SCORE (военнослужащим, не имеющим заболеваний, связанных с атеросклерозом)</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continue"/>
            <w:tcBorders>
              <w:top w:val="single" w:sz="4" w:space="0" w:color="000000"/>
              <w:left w:val="single" w:sz="4" w:space="0" w:color="000000"/>
              <w:right w:val="single" w:sz="4" w:space="0" w:color="000000"/>
            </w:tcBorders>
          </w:tcPr>
          <w:p>
            <w:pPr>
              <w:pStyle w:val="ConsPlusNormal"/>
              <w:rPr/>
            </w:pPr>
            <w:r>
              <w:rPr/>
            </w:r>
          </w:p>
        </w:tc>
        <w:tc>
          <w:tcPr>
            <w:tcW w:w="1018" w:type="dxa"/>
            <w:vMerge w:val="continue"/>
            <w:tcBorders>
              <w:top w:val="single" w:sz="4" w:space="0" w:color="000000"/>
              <w:left w:val="single" w:sz="4" w:space="0" w:color="000000"/>
              <w:right w:val="single" w:sz="4" w:space="0" w:color="000000"/>
            </w:tcBorders>
          </w:tcPr>
          <w:p>
            <w:pPr>
              <w:pStyle w:val="ConsPlusNormal"/>
              <w:rPr/>
            </w:pPr>
            <w:r>
              <w:rPr/>
            </w:r>
          </w:p>
        </w:tc>
        <w:tc>
          <w:tcPr>
            <w:tcW w:w="4841"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Флюорография легких в двух проекциях (флюорография не проводится, если военнослужащему в течение предшествующего календарного года либо года проведения профилактического медицинского осмотра проводилась флюорография, рентгенография (рентгеноскопия) или компьютерная томография органов грудной клетки (документально подтвержденное)</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restart"/>
            <w:tcBorders>
              <w:left w:val="single" w:sz="4" w:space="0" w:color="000000"/>
              <w:right w:val="single" w:sz="4" w:space="0" w:color="000000"/>
            </w:tcBorders>
            <w:vAlign w:val="center"/>
          </w:tcPr>
          <w:p>
            <w:pPr>
              <w:pStyle w:val="ConsPlusNormal"/>
              <w:jc w:val="center"/>
              <w:rPr/>
            </w:pPr>
            <w:r>
              <w:rPr>
                <w:sz w:val="24"/>
              </w:rPr>
              <w:t>Диспансеризация</w:t>
            </w:r>
          </w:p>
        </w:tc>
        <w:tc>
          <w:tcPr>
            <w:tcW w:w="1018" w:type="dxa"/>
            <w:vMerge w:val="restart"/>
            <w:tcBorders>
              <w:left w:val="single" w:sz="4" w:space="0" w:color="000000"/>
              <w:right w:val="single" w:sz="4" w:space="0" w:color="000000"/>
            </w:tcBorders>
            <w:vAlign w:val="center"/>
          </w:tcPr>
          <w:p>
            <w:pPr>
              <w:pStyle w:val="ConsPlusNormal"/>
              <w:jc w:val="center"/>
              <w:rPr/>
            </w:pPr>
            <w:r>
              <w:rPr>
                <w:sz w:val="24"/>
              </w:rPr>
              <w:t>Профилактический медицинский осмотр</w:t>
            </w:r>
          </w:p>
        </w:tc>
        <w:tc>
          <w:tcPr>
            <w:tcW w:w="4841"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Электрокардиография в покое</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continue"/>
            <w:tcBorders>
              <w:left w:val="single" w:sz="4" w:space="0" w:color="000000"/>
              <w:right w:val="single" w:sz="4" w:space="0" w:color="000000"/>
            </w:tcBorders>
          </w:tcPr>
          <w:p>
            <w:pPr>
              <w:pStyle w:val="ConsPlusNormal"/>
              <w:rPr/>
            </w:pPr>
            <w:r>
              <w:rPr/>
            </w:r>
          </w:p>
        </w:tc>
        <w:tc>
          <w:tcPr>
            <w:tcW w:w="1018" w:type="dxa"/>
            <w:vMerge w:val="continue"/>
            <w:tcBorders>
              <w:left w:val="single" w:sz="4" w:space="0" w:color="000000"/>
              <w:right w:val="single" w:sz="4" w:space="0" w:color="000000"/>
            </w:tcBorders>
          </w:tcPr>
          <w:p>
            <w:pPr>
              <w:pStyle w:val="ConsPlusNormal"/>
              <w:rPr/>
            </w:pPr>
            <w:r>
              <w:rPr/>
            </w:r>
          </w:p>
        </w:tc>
        <w:tc>
          <w:tcPr>
            <w:tcW w:w="4841"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Электрокардиография с физической нагрузкой (военнослужащим, допущенным к выполнению и (или) обеспечению водолазных работ под водой (в барокамере под повышенным давлением)</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continue"/>
            <w:tcBorders>
              <w:left w:val="single" w:sz="4" w:space="0" w:color="000000"/>
              <w:right w:val="single" w:sz="4" w:space="0" w:color="000000"/>
            </w:tcBorders>
          </w:tcPr>
          <w:p>
            <w:pPr>
              <w:pStyle w:val="ConsPlusNormal"/>
              <w:rPr/>
            </w:pPr>
            <w:r>
              <w:rPr/>
            </w:r>
          </w:p>
        </w:tc>
        <w:tc>
          <w:tcPr>
            <w:tcW w:w="1018" w:type="dxa"/>
            <w:vMerge w:val="continue"/>
            <w:tcBorders>
              <w:left w:val="single" w:sz="4" w:space="0" w:color="000000"/>
              <w:right w:val="single" w:sz="4" w:space="0" w:color="000000"/>
            </w:tcBorders>
          </w:tcPr>
          <w:p>
            <w:pPr>
              <w:pStyle w:val="ConsPlusNormal"/>
              <w:rPr/>
            </w:pPr>
            <w:r>
              <w:rPr/>
            </w:r>
          </w:p>
        </w:tc>
        <w:tc>
          <w:tcPr>
            <w:tcW w:w="4841"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Маммография обеих молочных желез в двух проекциях с двойным прочтением рентгенограмм и (или) ультразвуковое исследование и (или) УЗИ молочных желез (женщинам) (маммография не проводится, если в течение предшествующих 12 месяцев проводилась маммография или компьютерная томография молочных желез, а также в случае невозможности проведения исследования по медицинским показаниям в связи с мастэктомией (документально подтвержденное)</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continue"/>
            <w:tcBorders>
              <w:left w:val="single" w:sz="4" w:space="0" w:color="000000"/>
              <w:right w:val="single" w:sz="4" w:space="0" w:color="000000"/>
            </w:tcBorders>
          </w:tcPr>
          <w:p>
            <w:pPr>
              <w:pStyle w:val="ConsPlusNormal"/>
              <w:rPr/>
            </w:pPr>
            <w:r>
              <w:rPr/>
            </w:r>
          </w:p>
        </w:tc>
        <w:tc>
          <w:tcPr>
            <w:tcW w:w="1018" w:type="dxa"/>
            <w:vMerge w:val="continue"/>
            <w:tcBorders>
              <w:left w:val="single" w:sz="4" w:space="0" w:color="000000"/>
              <w:right w:val="single" w:sz="4" w:space="0" w:color="000000"/>
            </w:tcBorders>
          </w:tcPr>
          <w:p>
            <w:pPr>
              <w:pStyle w:val="ConsPlusNormal"/>
              <w:rPr/>
            </w:pPr>
            <w:r>
              <w:rPr/>
            </w:r>
          </w:p>
        </w:tc>
        <w:tc>
          <w:tcPr>
            <w:tcW w:w="3249"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sz w:val="24"/>
              </w:rPr>
              <w:t>УЗИ органов брюшной полости и малого таза на предмет исключения новообразований (не проводятся, если военнослужащему в год проведения профилактического медицинского осмотра проводилась магнитно-резонансная или компьютерная томография органов брюшной полости (документально подтвержденное)</w:t>
            </w:r>
          </w:p>
        </w:tc>
        <w:tc>
          <w:tcPr>
            <w:tcW w:w="1592"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УЗИ поджелудочной железы и почек</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continue"/>
            <w:tcBorders>
              <w:left w:val="single" w:sz="4" w:space="0" w:color="000000"/>
              <w:right w:val="single" w:sz="4" w:space="0" w:color="000000"/>
            </w:tcBorders>
          </w:tcPr>
          <w:p>
            <w:pPr>
              <w:pStyle w:val="ConsPlusNormal"/>
              <w:rPr/>
            </w:pPr>
            <w:r>
              <w:rPr/>
            </w:r>
          </w:p>
        </w:tc>
        <w:tc>
          <w:tcPr>
            <w:tcW w:w="1018" w:type="dxa"/>
            <w:vMerge w:val="continue"/>
            <w:tcBorders>
              <w:left w:val="single" w:sz="4" w:space="0" w:color="000000"/>
              <w:right w:val="single" w:sz="4" w:space="0" w:color="000000"/>
            </w:tcBorders>
          </w:tcPr>
          <w:p>
            <w:pPr>
              <w:pStyle w:val="ConsPlusNormal"/>
              <w:rPr/>
            </w:pPr>
            <w:r>
              <w:rPr/>
            </w:r>
          </w:p>
        </w:tc>
        <w:tc>
          <w:tcPr>
            <w:tcW w:w="324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592"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УЗИ предстательной железы (мужчинам)</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continue"/>
            <w:tcBorders>
              <w:left w:val="single" w:sz="4" w:space="0" w:color="000000"/>
              <w:right w:val="single" w:sz="4" w:space="0" w:color="000000"/>
            </w:tcBorders>
          </w:tcPr>
          <w:p>
            <w:pPr>
              <w:pStyle w:val="ConsPlusNormal"/>
              <w:rPr/>
            </w:pPr>
            <w:r>
              <w:rPr/>
            </w:r>
          </w:p>
        </w:tc>
        <w:tc>
          <w:tcPr>
            <w:tcW w:w="1018" w:type="dxa"/>
            <w:vMerge w:val="continue"/>
            <w:tcBorders>
              <w:left w:val="single" w:sz="4" w:space="0" w:color="000000"/>
              <w:right w:val="single" w:sz="4" w:space="0" w:color="000000"/>
            </w:tcBorders>
          </w:tcPr>
          <w:p>
            <w:pPr>
              <w:pStyle w:val="ConsPlusNormal"/>
              <w:rPr/>
            </w:pPr>
            <w:r>
              <w:rPr/>
            </w:r>
          </w:p>
        </w:tc>
        <w:tc>
          <w:tcPr>
            <w:tcW w:w="324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592"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УЗИ матки и яичников (женщинам)</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continue"/>
            <w:tcBorders>
              <w:left w:val="single" w:sz="4" w:space="0" w:color="000000"/>
              <w:right w:val="single" w:sz="4" w:space="0" w:color="000000"/>
            </w:tcBorders>
          </w:tcPr>
          <w:p>
            <w:pPr>
              <w:pStyle w:val="ConsPlusNormal"/>
              <w:rPr/>
            </w:pPr>
            <w:r>
              <w:rPr/>
            </w:r>
          </w:p>
        </w:tc>
        <w:tc>
          <w:tcPr>
            <w:tcW w:w="1018" w:type="dxa"/>
            <w:vMerge w:val="continue"/>
            <w:tcBorders>
              <w:left w:val="single" w:sz="4" w:space="0" w:color="000000"/>
              <w:right w:val="single" w:sz="4" w:space="0" w:color="000000"/>
            </w:tcBorders>
          </w:tcPr>
          <w:p>
            <w:pPr>
              <w:pStyle w:val="ConsPlusNormal"/>
              <w:rPr/>
            </w:pPr>
            <w:r>
              <w:rPr/>
            </w:r>
          </w:p>
        </w:tc>
        <w:tc>
          <w:tcPr>
            <w:tcW w:w="4841"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Осмотр врачом-хирургом (мужчины осматриваются после получения результатов исследования уровня простатспецифического антигена (ПСА) в крови, УЗИ поджелудочной железы, почек, предстательной железы, женщины - после получения результатов, УЗИ поджелудочной железы, почек, матки и яичников, маммографии и (или) УЗИ молочных желез)</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continue"/>
            <w:tcBorders>
              <w:left w:val="single" w:sz="4" w:space="0" w:color="000000"/>
              <w:right w:val="single" w:sz="4" w:space="0" w:color="000000"/>
            </w:tcBorders>
          </w:tcPr>
          <w:p>
            <w:pPr>
              <w:pStyle w:val="ConsPlusNormal"/>
              <w:rPr/>
            </w:pPr>
            <w:r>
              <w:rPr/>
            </w:r>
          </w:p>
        </w:tc>
        <w:tc>
          <w:tcPr>
            <w:tcW w:w="1018" w:type="dxa"/>
            <w:vMerge w:val="continue"/>
            <w:tcBorders>
              <w:left w:val="single" w:sz="4" w:space="0" w:color="000000"/>
              <w:right w:val="single" w:sz="4" w:space="0" w:color="000000"/>
            </w:tcBorders>
          </w:tcPr>
          <w:p>
            <w:pPr>
              <w:pStyle w:val="ConsPlusNormal"/>
              <w:rPr/>
            </w:pPr>
            <w:r>
              <w:rPr/>
            </w:r>
          </w:p>
        </w:tc>
        <w:tc>
          <w:tcPr>
            <w:tcW w:w="4841"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Осмотр врачом-неврологом</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continue"/>
            <w:tcBorders>
              <w:left w:val="single" w:sz="4" w:space="0" w:color="000000"/>
              <w:right w:val="single" w:sz="4" w:space="0" w:color="000000"/>
            </w:tcBorders>
          </w:tcPr>
          <w:p>
            <w:pPr>
              <w:pStyle w:val="ConsPlusNormal"/>
              <w:rPr/>
            </w:pPr>
            <w:r>
              <w:rPr/>
            </w:r>
          </w:p>
        </w:tc>
        <w:tc>
          <w:tcPr>
            <w:tcW w:w="1018" w:type="dxa"/>
            <w:vMerge w:val="continue"/>
            <w:tcBorders>
              <w:left w:val="single" w:sz="4" w:space="0" w:color="000000"/>
              <w:right w:val="single" w:sz="4" w:space="0" w:color="000000"/>
            </w:tcBorders>
          </w:tcPr>
          <w:p>
            <w:pPr>
              <w:pStyle w:val="ConsPlusNormal"/>
              <w:rPr/>
            </w:pPr>
            <w:r>
              <w:rPr/>
            </w:r>
          </w:p>
        </w:tc>
        <w:tc>
          <w:tcPr>
            <w:tcW w:w="4841"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Осмотр врачом-офтальмологом, включая проведение визометрии, офтальмоскопии, биомикроскопии и тонометрии глаза</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continue"/>
            <w:tcBorders>
              <w:left w:val="single" w:sz="4" w:space="0" w:color="000000"/>
              <w:right w:val="single" w:sz="4" w:space="0" w:color="000000"/>
            </w:tcBorders>
          </w:tcPr>
          <w:p>
            <w:pPr>
              <w:pStyle w:val="ConsPlusNormal"/>
              <w:rPr/>
            </w:pPr>
            <w:r>
              <w:rPr/>
            </w:r>
          </w:p>
        </w:tc>
        <w:tc>
          <w:tcPr>
            <w:tcW w:w="1018" w:type="dxa"/>
            <w:vMerge w:val="continue"/>
            <w:tcBorders>
              <w:left w:val="single" w:sz="4" w:space="0" w:color="000000"/>
              <w:right w:val="single" w:sz="4" w:space="0" w:color="000000"/>
            </w:tcBorders>
          </w:tcPr>
          <w:p>
            <w:pPr>
              <w:pStyle w:val="ConsPlusNormal"/>
              <w:rPr/>
            </w:pPr>
            <w:r>
              <w:rPr/>
            </w:r>
          </w:p>
        </w:tc>
        <w:tc>
          <w:tcPr>
            <w:tcW w:w="4841"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Осмотр врачом-оториноларингологом, включая проведение фарингоскопии, риноскопии, отоскопии, исследование слуха шепотной речью</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continue"/>
            <w:tcBorders>
              <w:left w:val="single" w:sz="4" w:space="0" w:color="000000"/>
              <w:right w:val="single" w:sz="4" w:space="0" w:color="000000"/>
            </w:tcBorders>
          </w:tcPr>
          <w:p>
            <w:pPr>
              <w:pStyle w:val="ConsPlusNormal"/>
              <w:rPr/>
            </w:pPr>
            <w:r>
              <w:rPr/>
            </w:r>
          </w:p>
        </w:tc>
        <w:tc>
          <w:tcPr>
            <w:tcW w:w="1018" w:type="dxa"/>
            <w:vMerge w:val="continue"/>
            <w:tcBorders>
              <w:left w:val="single" w:sz="4" w:space="0" w:color="000000"/>
              <w:right w:val="single" w:sz="4" w:space="0" w:color="000000"/>
            </w:tcBorders>
          </w:tcPr>
          <w:p>
            <w:pPr>
              <w:pStyle w:val="ConsPlusNormal"/>
              <w:rPr/>
            </w:pPr>
            <w:r>
              <w:rPr/>
            </w:r>
          </w:p>
        </w:tc>
        <w:tc>
          <w:tcPr>
            <w:tcW w:w="4841"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Осмотр врачом-стоматологом</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continue"/>
            <w:tcBorders>
              <w:left w:val="single" w:sz="4" w:space="0" w:color="000000"/>
              <w:right w:val="single" w:sz="4" w:space="0" w:color="000000"/>
            </w:tcBorders>
          </w:tcPr>
          <w:p>
            <w:pPr>
              <w:pStyle w:val="ConsPlusNormal"/>
              <w:rPr/>
            </w:pPr>
            <w:r>
              <w:rPr/>
            </w:r>
          </w:p>
        </w:tc>
        <w:tc>
          <w:tcPr>
            <w:tcW w:w="1018" w:type="dxa"/>
            <w:vMerge w:val="continue"/>
            <w:tcBorders>
              <w:left w:val="single" w:sz="4" w:space="0" w:color="000000"/>
              <w:right w:val="single" w:sz="4" w:space="0" w:color="000000"/>
            </w:tcBorders>
          </w:tcPr>
          <w:p>
            <w:pPr>
              <w:pStyle w:val="ConsPlusNormal"/>
              <w:rPr/>
            </w:pPr>
            <w:r>
              <w:rPr/>
            </w:r>
          </w:p>
        </w:tc>
        <w:tc>
          <w:tcPr>
            <w:tcW w:w="4841"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Осмотр врачом-психиатром (осмотр проводится при наличии справки о результатах ХТИ (информации о результатах ХТИ), представляемой военнослужащими (медицинскими подразделениями воинских частей (организаций), к которым военнослужащие прикреплены на медицинское обеспечение), а лицо, находящееся под диспансерным наблюдением по поводу психического расстройства, осматривается врачом-психиатром при наличии служебной и медицинской характеристик с места службы, заключения психолога воинской части (организации) (психологическая характеристика), в которых отражаются результаты индивидуальной оценки служебной деятельности военнослужащего за период наблюдения и влияние состояния здоровья военнослужащего на возможность исполнять обязанности военной службы)</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restart"/>
            <w:tcBorders>
              <w:left w:val="single" w:sz="4" w:space="0" w:color="000000"/>
              <w:bottom w:val="single" w:sz="4" w:space="0" w:color="000000"/>
              <w:right w:val="single" w:sz="4" w:space="0" w:color="000000"/>
            </w:tcBorders>
            <w:vAlign w:val="center"/>
          </w:tcPr>
          <w:p>
            <w:pPr>
              <w:pStyle w:val="ConsPlusNormal"/>
              <w:jc w:val="center"/>
              <w:rPr/>
            </w:pPr>
            <w:r>
              <w:rPr>
                <w:sz w:val="24"/>
              </w:rPr>
              <w:t>Диспансеризация</w:t>
            </w:r>
          </w:p>
        </w:tc>
        <w:tc>
          <w:tcPr>
            <w:tcW w:w="1018" w:type="dxa"/>
            <w:vMerge w:val="restart"/>
            <w:tcBorders>
              <w:left w:val="single" w:sz="4" w:space="0" w:color="000000"/>
              <w:bottom w:val="single" w:sz="4" w:space="0" w:color="000000"/>
              <w:right w:val="single" w:sz="4" w:space="0" w:color="000000"/>
            </w:tcBorders>
            <w:vAlign w:val="center"/>
          </w:tcPr>
          <w:p>
            <w:pPr>
              <w:pStyle w:val="ConsPlusNormal"/>
              <w:jc w:val="center"/>
              <w:rPr/>
            </w:pPr>
            <w:r>
              <w:rPr>
                <w:sz w:val="24"/>
              </w:rPr>
              <w:t>Профилактический медицинский осмотр</w:t>
            </w:r>
          </w:p>
        </w:tc>
        <w:tc>
          <w:tcPr>
            <w:tcW w:w="4841"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Осмотр врачом-дерматовенерологом (военнослужащим, допущенным к выполнению и (или) обеспечению водолазных работ под водой (в барокамере под повышенным давлением)</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continue"/>
            <w:tcBorders>
              <w:left w:val="single" w:sz="4" w:space="0" w:color="000000"/>
              <w:bottom w:val="single" w:sz="4" w:space="0" w:color="000000"/>
              <w:right w:val="single" w:sz="4" w:space="0" w:color="000000"/>
            </w:tcBorders>
          </w:tcPr>
          <w:p>
            <w:pPr>
              <w:pStyle w:val="ConsPlusNormal"/>
              <w:rPr/>
            </w:pPr>
            <w:r>
              <w:rPr/>
            </w:r>
          </w:p>
        </w:tc>
        <w:tc>
          <w:tcPr>
            <w:tcW w:w="1018" w:type="dxa"/>
            <w:vMerge w:val="continue"/>
            <w:tcBorders>
              <w:left w:val="single" w:sz="4" w:space="0" w:color="000000"/>
              <w:bottom w:val="single" w:sz="4" w:space="0" w:color="000000"/>
              <w:right w:val="single" w:sz="4" w:space="0" w:color="000000"/>
            </w:tcBorders>
          </w:tcPr>
          <w:p>
            <w:pPr>
              <w:pStyle w:val="ConsPlusNormal"/>
              <w:rPr/>
            </w:pPr>
            <w:r>
              <w:rPr/>
            </w:r>
          </w:p>
        </w:tc>
        <w:tc>
          <w:tcPr>
            <w:tcW w:w="4841"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Осмотр врачом-акушером-гинекологом, включая визуальное исследование и пальпацию молочных желез, визуальный осмотр наружных половых органов, осмотр влагалища и шейки матки в зеркалах, взятие мазка (соскоба) с шейки матки (за исключением случаев невозможности проведения исследования по медицинским показаниям в связи с экстирпацией матки, virgo) с последующим цитологическим исследованием мазка с шейки матки, бимануальное влагалищное исследование (бимануальное ректоабдоминальное исследование - для женщин, не начавших половую жизнь) (женщинам)</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vMerge w:val="continue"/>
            <w:tcBorders>
              <w:left w:val="single" w:sz="4" w:space="0" w:color="000000"/>
              <w:bottom w:val="single" w:sz="4" w:space="0" w:color="000000"/>
              <w:right w:val="single" w:sz="4" w:space="0" w:color="000000"/>
            </w:tcBorders>
          </w:tcPr>
          <w:p>
            <w:pPr>
              <w:pStyle w:val="ConsPlusNormal"/>
              <w:rPr/>
            </w:pPr>
            <w:r>
              <w:rPr/>
            </w:r>
          </w:p>
        </w:tc>
        <w:tc>
          <w:tcPr>
            <w:tcW w:w="1018" w:type="dxa"/>
            <w:vMerge w:val="continue"/>
            <w:tcBorders>
              <w:left w:val="single" w:sz="4" w:space="0" w:color="000000"/>
              <w:bottom w:val="single" w:sz="4" w:space="0" w:color="000000"/>
              <w:right w:val="single" w:sz="4" w:space="0" w:color="000000"/>
            </w:tcBorders>
          </w:tcPr>
          <w:p>
            <w:pPr>
              <w:pStyle w:val="ConsPlusNormal"/>
              <w:rPr/>
            </w:pPr>
            <w:r>
              <w:rPr/>
            </w:r>
          </w:p>
        </w:tc>
        <w:tc>
          <w:tcPr>
            <w:tcW w:w="4841" w:type="dxa"/>
            <w:gridSpan w:val="2"/>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Осмотр врачом-терапевтом и (или) врачом общей практики (семейным врачом), включая установление (уточнение) диагноза, определение (уточнение) группы состояния здоровья, группы диспансерного наблюдения, проведение краткого профилактического консультирования (с учетом заключений врачей-специалистов), в том числе рекомендации по здоровому питанию, уровню физической активности, отказу от курения табака и пагубного потребления алкоголя; направление на медицинское обследование, не входящее в объем диспансеризации, лечение в амбулаторных условиях или стационарных условиях, а также санаторно-курортное лечение (при наличии медицинских показаний)</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8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376"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635" w:type="dxa"/>
            <w:tcBorders>
              <w:top w:val="single" w:sz="4" w:space="0" w:color="000000"/>
              <w:left w:val="single" w:sz="4" w:space="0" w:color="000000"/>
              <w:bottom w:val="single" w:sz="4" w:space="0" w:color="000000"/>
              <w:right w:val="single" w:sz="4" w:space="0" w:color="000000"/>
            </w:tcBorders>
            <w:vAlign w:val="center"/>
          </w:tcPr>
          <w:p>
            <w:pPr>
              <w:pStyle w:val="ConsPlusNormal"/>
              <w:rPr/>
            </w:pPr>
            <w:r>
              <w:rPr/>
            </w:r>
          </w:p>
        </w:tc>
        <w:tc>
          <w:tcPr>
            <w:tcW w:w="1018" w:type="dxa"/>
            <w:tcBorders>
              <w:top w:val="single" w:sz="4" w:space="0" w:color="000000"/>
              <w:left w:val="single" w:sz="4" w:space="0" w:color="000000"/>
              <w:bottom w:val="single" w:sz="4" w:space="0" w:color="000000"/>
            </w:tcBorders>
            <w:vAlign w:val="center"/>
          </w:tcPr>
          <w:p>
            <w:pPr>
              <w:pStyle w:val="ConsPlusNormal"/>
              <w:rPr/>
            </w:pPr>
            <w:r>
              <w:rPr/>
            </w:r>
          </w:p>
        </w:tc>
        <w:tc>
          <w:tcPr>
            <w:tcW w:w="4841" w:type="dxa"/>
            <w:gridSpan w:val="2"/>
            <w:tcBorders>
              <w:top w:val="single" w:sz="4" w:space="0" w:color="000000"/>
              <w:bottom w:val="single" w:sz="4" w:space="0" w:color="000000"/>
              <w:right w:val="single" w:sz="4" w:space="0" w:color="000000"/>
            </w:tcBorders>
          </w:tcPr>
          <w:p>
            <w:pPr>
              <w:pStyle w:val="ConsPlusNormal"/>
              <w:jc w:val="both"/>
              <w:rPr/>
            </w:pPr>
            <w:r>
              <w:rPr>
                <w:sz w:val="24"/>
              </w:rPr>
              <w:t>Дополнительные обследования и осмотры врачами-специалистами по профилю имеющегося у военнослужащего хронического неинфекционного заболевания (военнослужащим, находящимся под диспансерным наблюдением)</w:t>
            </w:r>
          </w:p>
        </w:tc>
        <w:tc>
          <w:tcPr>
            <w:tcW w:w="9544" w:type="dxa"/>
            <w:gridSpan w:val="25"/>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в соответствии с индивидуальным планом проведения диспансеризации</w:t>
            </w:r>
          </w:p>
        </w:tc>
      </w:tr>
    </w:tbl>
    <w:p>
      <w:pPr>
        <w:sectPr>
          <w:headerReference w:type="even" r:id="rId19"/>
          <w:headerReference w:type="default" r:id="rId20"/>
          <w:headerReference w:type="first" r:id="rId21"/>
          <w:footerReference w:type="even" r:id="rId22"/>
          <w:footerReference w:type="default" r:id="rId23"/>
          <w:footerReference w:type="first" r:id="rId24"/>
          <w:type w:val="nextPage"/>
          <w:pgSz w:orient="landscape" w:w="16838" w:h="11906"/>
          <w:pgMar w:left="397" w:right="397" w:gutter="0" w:header="0" w:top="1133" w:footer="0" w:bottom="566"/>
          <w:pgNumType w:fmt="decimal"/>
          <w:formProt w:val="false"/>
          <w:titlePg/>
          <w:textDirection w:val="lrTb"/>
          <w:docGrid w:type="default" w:linePitch="100" w:charSpace="8192"/>
        </w:sectPr>
      </w:pPr>
    </w:p>
    <w:p>
      <w:pPr>
        <w:pStyle w:val="ConsPlusNormal"/>
        <w:jc w:val="both"/>
        <w:rPr/>
      </w:pPr>
      <w:r>
        <w:rPr/>
      </w:r>
      <w:bookmarkStart w:id="18" w:name="P1767"/>
      <w:bookmarkStart w:id="19" w:name="P1767"/>
      <w:bookmarkEnd w:id="19"/>
    </w:p>
    <w:p>
      <w:pPr>
        <w:pStyle w:val="ConsPlusTitle"/>
        <w:numPr>
          <w:ilvl w:val="0"/>
          <w:numId w:val="0"/>
        </w:numPr>
        <w:ind w:firstLine="540"/>
        <w:jc w:val="both"/>
        <w:outlineLvl w:val="1"/>
        <w:rPr/>
      </w:pPr>
      <w:bookmarkStart w:id="20" w:name="P1767"/>
      <w:bookmarkEnd w:id="20"/>
      <w:r>
        <w:rPr>
          <w:sz w:val="24"/>
        </w:rPr>
        <w:t>IV. Перечень исследований, которые проводятся военнослужащим при прохождении ими медицинских осмотров</w:t>
      </w:r>
    </w:p>
    <w:p>
      <w:pPr>
        <w:pStyle w:val="ConsPlusNormal"/>
        <w:jc w:val="both"/>
        <w:rPr/>
      </w:pPr>
      <w:r>
        <w:rPr/>
      </w:r>
    </w:p>
    <w:tbl>
      <w:tblPr>
        <w:tblW w:w="5000" w:type="pct"/>
        <w:jc w:val="left"/>
        <w:tblInd w:w="67" w:type="dxa"/>
        <w:tblLayout w:type="fixed"/>
        <w:tblCellMar>
          <w:top w:w="102" w:type="dxa"/>
          <w:left w:w="62" w:type="dxa"/>
          <w:bottom w:w="102" w:type="dxa"/>
          <w:right w:w="62" w:type="dxa"/>
        </w:tblCellMar>
      </w:tblPr>
      <w:tblGrid>
        <w:gridCol w:w="4198"/>
        <w:gridCol w:w="775"/>
        <w:gridCol w:w="935"/>
        <w:gridCol w:w="1242"/>
        <w:gridCol w:w="931"/>
        <w:gridCol w:w="1404"/>
        <w:gridCol w:w="467"/>
        <w:gridCol w:w="1243"/>
        <w:gridCol w:w="467"/>
        <w:gridCol w:w="1404"/>
        <w:gridCol w:w="624"/>
        <w:gridCol w:w="618"/>
        <w:gridCol w:w="1735"/>
      </w:tblGrid>
      <w:tr>
        <w:trPr/>
        <w:tc>
          <w:tcPr>
            <w:tcW w:w="4198"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Осмотр, исследование, мероприятие</w:t>
            </w:r>
          </w:p>
        </w:tc>
        <w:tc>
          <w:tcPr>
            <w:tcW w:w="11845" w:type="dxa"/>
            <w:gridSpan w:val="12"/>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Медицинский осмотр военнослужащих</w:t>
            </w:r>
          </w:p>
        </w:tc>
      </w:tr>
      <w:tr>
        <w:trPr/>
        <w:tc>
          <w:tcPr>
            <w:tcW w:w="419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77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перед проведением профилактических прививок</w:t>
            </w:r>
          </w:p>
        </w:tc>
        <w:tc>
          <w:tcPr>
            <w:tcW w:w="9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 бане перед помывкой (для военнослужащих, проходящих военную службу по призыву)</w:t>
            </w:r>
          </w:p>
        </w:tc>
        <w:tc>
          <w:tcPr>
            <w:tcW w:w="124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назначенных в суточный наряд (заступающих в караул) с оружием, личного состава дежурных сил (смен) перед заступлением на боевое дежурство (боевую службу)</w:t>
            </w:r>
          </w:p>
        </w:tc>
        <w:tc>
          <w:tcPr>
            <w:tcW w:w="93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служебная деятельность которых связана с возможным воздействием неблагоприятных факторов</w:t>
            </w:r>
          </w:p>
        </w:tc>
        <w:tc>
          <w:tcPr>
            <w:tcW w:w="14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постоянно работающих в столовых, на продовольственных складах, объектах водоснабжения, в пекарнях, банях, прачечных, и санитаров (санитарных инструкторов)</w:t>
            </w:r>
          </w:p>
        </w:tc>
        <w:tc>
          <w:tcPr>
            <w:tcW w:w="46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назначаемых в суточный наряд по столовой</w:t>
            </w:r>
          </w:p>
        </w:tc>
        <w:tc>
          <w:tcPr>
            <w:tcW w:w="12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вновь прибывших в воинскую часть, а также возвратившихся из отпуска, командировки и медицинских (военно-медицинских) организаций по выздоровлении</w:t>
            </w:r>
          </w:p>
        </w:tc>
        <w:tc>
          <w:tcPr>
            <w:tcW w:w="46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водителей</w:t>
            </w:r>
          </w:p>
        </w:tc>
        <w:tc>
          <w:tcPr>
            <w:tcW w:w="14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экипажей катеров</w:t>
            </w:r>
          </w:p>
        </w:tc>
        <w:tc>
          <w:tcPr>
            <w:tcW w:w="62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участников спортивных состязаний</w:t>
            </w:r>
          </w:p>
        </w:tc>
        <w:tc>
          <w:tcPr>
            <w:tcW w:w="6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подвергнутых дисциплинарному аресту</w:t>
            </w:r>
          </w:p>
        </w:tc>
        <w:tc>
          <w:tcPr>
            <w:tcW w:w="1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допущенных к выполнению и (или) обеспечению водолазных работ под водой (в барокамере под повышенным давлением) (далее - водолазы), кандидатов в водолазы из числа военнослужащих, проходящих военную службу по контракту</w:t>
            </w:r>
          </w:p>
        </w:tc>
      </w:tr>
      <w:tr>
        <w:trPr/>
        <w:tc>
          <w:tcPr>
            <w:tcW w:w="16043" w:type="dxa"/>
            <w:gridSpan w:val="13"/>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Осмотр врачом (фельдшером, медицинской сестрой), включающий:</w:t>
            </w:r>
          </w:p>
        </w:tc>
      </w:tr>
      <w:tr>
        <w:trPr/>
        <w:tc>
          <w:tcPr>
            <w:tcW w:w="4198"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Сбор жалоб на состояние здоровья</w:t>
            </w:r>
          </w:p>
        </w:tc>
        <w:tc>
          <w:tcPr>
            <w:tcW w:w="77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467"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467"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ConsPlusNormal"/>
              <w:rPr/>
            </w:pPr>
            <w:r>
              <w:rPr/>
            </w:r>
          </w:p>
        </w:tc>
        <w:tc>
          <w:tcPr>
            <w:tcW w:w="62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618"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73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4198"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Изучение анамнестических данных (предшествующие заболевания, переносимость ранее проведенных профилактических прививок, наличие аллергических реакций на лекарственные препараты)</w:t>
            </w:r>
          </w:p>
        </w:tc>
        <w:tc>
          <w:tcPr>
            <w:tcW w:w="77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467"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467"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62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618"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73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4198"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Сбор сведений о предшествующем отдыхе (сне), режиме и качестве питания, готовности по состоянию здоровья нести службу</w:t>
            </w:r>
          </w:p>
        </w:tc>
        <w:tc>
          <w:tcPr>
            <w:tcW w:w="77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467"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467"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62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618"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73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4198"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Визуальный осмотр, в том числе выявление отклонений в эмоциональном состоянии (по внешнему виду, поведению, форме общения)</w:t>
            </w:r>
          </w:p>
        </w:tc>
        <w:tc>
          <w:tcPr>
            <w:tcW w:w="77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467"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467"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62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618"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73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4198"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Осмотр кожных покровов и видимых слизистых оболочек</w:t>
            </w:r>
          </w:p>
        </w:tc>
        <w:tc>
          <w:tcPr>
            <w:tcW w:w="77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467"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467"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62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618"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73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4198"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Термометрия</w:t>
            </w:r>
          </w:p>
        </w:tc>
        <w:tc>
          <w:tcPr>
            <w:tcW w:w="77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467"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467"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62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618"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73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4198"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Измерение артериального давления на периферических артериях</w:t>
            </w:r>
          </w:p>
        </w:tc>
        <w:tc>
          <w:tcPr>
            <w:tcW w:w="77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467"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467"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62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618"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73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4198"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Определение пульсового давления (разница систолического и диастолического давления)</w:t>
            </w:r>
          </w:p>
        </w:tc>
        <w:tc>
          <w:tcPr>
            <w:tcW w:w="77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467"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467"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62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618"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73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4198"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Подсчет частоты сердечных сокращений (пульс)</w:t>
            </w:r>
          </w:p>
        </w:tc>
        <w:tc>
          <w:tcPr>
            <w:tcW w:w="77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467"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467"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62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618"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73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4198"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Выявление клинических признаков опьянения, остаточных явлений опьянения</w:t>
            </w:r>
          </w:p>
        </w:tc>
        <w:tc>
          <w:tcPr>
            <w:tcW w:w="77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467"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467"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p>
            <w:pPr>
              <w:pStyle w:val="ConsPlusNormal"/>
              <w:jc w:val="center"/>
              <w:rPr/>
            </w:pPr>
            <w:r>
              <w:rPr>
                <w:sz w:val="24"/>
              </w:rPr>
              <w:t>лицам, допущенным к управлению катерами</w:t>
            </w:r>
          </w:p>
        </w:tc>
        <w:tc>
          <w:tcPr>
            <w:tcW w:w="62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618"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73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4198"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Количественное определение алкоголя в выдыхаемом воздухе</w:t>
            </w:r>
          </w:p>
        </w:tc>
        <w:tc>
          <w:tcPr>
            <w:tcW w:w="77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93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467"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467"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p>
            <w:pPr>
              <w:pStyle w:val="ConsPlusNormal"/>
              <w:jc w:val="center"/>
              <w:rPr/>
            </w:pPr>
            <w:r>
              <w:rPr>
                <w:sz w:val="24"/>
              </w:rPr>
              <w:t>лицам, допущенным к управлению катерами</w:t>
            </w:r>
          </w:p>
        </w:tc>
        <w:tc>
          <w:tcPr>
            <w:tcW w:w="624"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618"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c>
          <w:tcPr>
            <w:tcW w:w="1735"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w:t>
            </w:r>
          </w:p>
        </w:tc>
      </w:tr>
      <w:tr>
        <w:trPr/>
        <w:tc>
          <w:tcPr>
            <w:tcW w:w="4198"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Дополнительные исследования и осмотры врачами-специалистами</w:t>
            </w:r>
          </w:p>
        </w:tc>
        <w:tc>
          <w:tcPr>
            <w:tcW w:w="11845" w:type="dxa"/>
            <w:gridSpan w:val="12"/>
            <w:tcBorders>
              <w:top w:val="single" w:sz="4" w:space="0" w:color="000000"/>
              <w:left w:val="single" w:sz="4" w:space="0" w:color="000000"/>
              <w:bottom w:val="single" w:sz="4" w:space="0" w:color="000000"/>
              <w:right w:val="single" w:sz="4" w:space="0" w:color="000000"/>
            </w:tcBorders>
            <w:vAlign w:val="center"/>
          </w:tcPr>
          <w:p>
            <w:pPr>
              <w:pStyle w:val="ConsPlusNormal"/>
              <w:jc w:val="center"/>
              <w:rPr/>
            </w:pPr>
            <w:r>
              <w:rPr>
                <w:sz w:val="24"/>
              </w:rPr>
              <w:t>по медицинским показаниям</w:t>
            </w:r>
          </w:p>
        </w:tc>
      </w:tr>
    </w:tbl>
    <w:p>
      <w:pPr>
        <w:pStyle w:val="ConsPlusNormal"/>
        <w:jc w:val="both"/>
        <w:rPr/>
      </w:pPr>
      <w:r>
        <w:rPr/>
      </w:r>
    </w:p>
    <w:p>
      <w:pPr>
        <w:pStyle w:val="ConsPlusNormal"/>
        <w:jc w:val="both"/>
        <w:rPr/>
      </w:pPr>
      <w:r>
        <w:rPr/>
      </w:r>
    </w:p>
    <w:p>
      <w:pPr>
        <w:pStyle w:val="ConsPlusNormal"/>
        <w:pBdr>
          <w:bottom w:val="single" w:sz="6" w:space="0" w:color="000000"/>
        </w:pBdr>
        <w:spacing w:before="100" w:after="100"/>
        <w:jc w:val="both"/>
        <w:rPr>
          <w:sz w:val="2"/>
          <w:szCs w:val="2"/>
        </w:rPr>
      </w:pPr>
      <w:r>
        <w:rPr>
          <w:sz w:val="2"/>
          <w:szCs w:val="2"/>
        </w:rPr>
      </w:r>
    </w:p>
    <w:sectPr>
      <w:headerReference w:type="even" r:id="rId25"/>
      <w:headerReference w:type="default" r:id="rId26"/>
      <w:headerReference w:type="first" r:id="rId27"/>
      <w:footerReference w:type="even" r:id="rId28"/>
      <w:footerReference w:type="default" r:id="rId29"/>
      <w:footerReference w:type="first" r:id="rId30"/>
      <w:type w:val="nextPage"/>
      <w:pgSz w:orient="landscape" w:w="16838" w:h="11906"/>
      <w:pgMar w:left="397" w:right="397" w:gutter="0" w:header="0" w:top="1133" w:footer="0" w:bottom="566"/>
      <w:pgNumType w:fmt="decimal"/>
      <w:formProt w:val="false"/>
      <w:titlePg/>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PT Astra Serif">
    <w:charset w:val="01"/>
    <w:family w:val="roman"/>
    <w:pitch w:val="default"/>
  </w:font>
  <w:font w:name="Courier New">
    <w:charset w:val="01"/>
    <w:family w:val="roman"/>
    <w:pitch w:val="default"/>
  </w:font>
  <w:font w:name="Arial">
    <w:charset w:val="01"/>
    <w:family w:val="roman"/>
    <w:pitch w:val="default"/>
  </w:font>
  <w:font w:name="Tahoma">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37</w:t>
          </w:r>
          <w:r>
            <w:rPr/>
            <w:fldChar w:fldCharType="end"/>
          </w:r>
        </w:p>
      </w:tc>
    </w:tr>
  </w:tbl>
  <w:p>
    <w:pPr>
      <w:pStyle w:val="ConsPlusNormal"/>
      <w:rPr/>
    </w:pPr>
    <w:r>
      <w:rPr>
        <w:sz w:val="2"/>
        <w:szCs w:val="2"/>
      </w:rPr>
      <w:t>1</w: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37</w:t>
          </w:r>
          <w:r>
            <w:rPr/>
            <w:fldChar w:fldCharType="end"/>
          </w:r>
        </w:p>
      </w:tc>
    </w:tr>
  </w:tbl>
  <w:p>
    <w:pPr>
      <w:pStyle w:val="ConsPlusNormal"/>
      <w:rPr/>
    </w:pPr>
    <w:r>
      <w:rPr>
        <w:sz w:val="2"/>
        <w:szCs w:val="2"/>
      </w:rPr>
      <w:t>1</w: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5348"/>
      <w:gridCol w:w="5348"/>
      <w:gridCol w:w="5348"/>
    </w:tblGrid>
    <w:tr>
      <w:trPr>
        <w:trHeight w:val="1170" w:hRule="exact"/>
      </w:trPr>
      <w:tc>
        <w:tcPr>
          <w:tcW w:w="5348"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5348"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5348"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37</w:t>
          </w:r>
          <w:r>
            <w:rPr/>
            <w:fldChar w:fldCharType="end"/>
          </w:r>
          <w:r>
            <w:rPr>
              <w:rFonts w:cs="Tahoma" w:ascii="Tahoma" w:hAnsi="Tahoma"/>
            </w:rPr>
            <w:t xml:space="preserve"> из </w:t>
          </w:r>
          <w:r>
            <w:rPr/>
            <w:fldChar w:fldCharType="begin"/>
          </w:r>
          <w:r>
            <w:rPr/>
            <w:instrText xml:space="preserve"> NUMPAGES </w:instrText>
          </w:r>
          <w:r>
            <w:rPr/>
            <w:fldChar w:fldCharType="separate"/>
          </w:r>
          <w:r>
            <w:rPr/>
            <w:t>37</w:t>
          </w:r>
          <w:r>
            <w:rPr/>
            <w:fldChar w:fldCharType="end"/>
          </w:r>
        </w:p>
      </w:tc>
    </w:tr>
  </w:tbl>
  <w:p>
    <w:pPr>
      <w:pStyle w:val="ConsPlusNormal"/>
      <w:rPr/>
    </w:pPr>
    <w:r>
      <w:rPr>
        <w:sz w:val="2"/>
        <w:szCs w:val="2"/>
      </w:rPr>
      <w:t>1</w:t>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5348"/>
      <w:gridCol w:w="5348"/>
      <w:gridCol w:w="5348"/>
    </w:tblGrid>
    <w:tr>
      <w:trPr>
        <w:trHeight w:val="1170" w:hRule="exact"/>
      </w:trPr>
      <w:tc>
        <w:tcPr>
          <w:tcW w:w="5348"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5348"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5348"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35</w:t>
          </w:r>
          <w:r>
            <w:rPr/>
            <w:fldChar w:fldCharType="end"/>
          </w:r>
          <w:r>
            <w:rPr>
              <w:rFonts w:cs="Tahoma" w:ascii="Tahoma" w:hAnsi="Tahoma"/>
            </w:rPr>
            <w:t xml:space="preserve"> из </w:t>
          </w:r>
          <w:r>
            <w:rPr/>
            <w:fldChar w:fldCharType="begin"/>
          </w:r>
          <w:r>
            <w:rPr/>
            <w:instrText xml:space="preserve"> NUMPAGES </w:instrText>
          </w:r>
          <w:r>
            <w:rPr/>
            <w:fldChar w:fldCharType="separate"/>
          </w:r>
          <w:r>
            <w:rPr/>
            <w:t>37</w:t>
          </w:r>
          <w:r>
            <w:rPr/>
            <w:fldChar w:fldCharType="end"/>
          </w:r>
        </w:p>
      </w:tc>
    </w:tr>
  </w:tbl>
  <w:p>
    <w:pPr>
      <w:pStyle w:val="ConsPlusNormal"/>
      <w:rPr/>
    </w:pPr>
    <w:r>
      <w:rPr>
        <w:sz w:val="2"/>
        <w:szCs w:val="2"/>
      </w:rPr>
      <w:t>1</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20</w:t>
          </w:r>
          <w:r>
            <w:rPr/>
            <w:fldChar w:fldCharType="end"/>
          </w:r>
          <w:r>
            <w:rPr>
              <w:rFonts w:cs="Tahoma" w:ascii="Tahoma" w:hAnsi="Tahoma"/>
            </w:rPr>
            <w:t xml:space="preserve"> из </w:t>
          </w:r>
          <w:r>
            <w:rPr/>
            <w:fldChar w:fldCharType="begin"/>
          </w:r>
          <w:r>
            <w:rPr/>
            <w:instrText xml:space="preserve"> NUMPAGES </w:instrText>
          </w:r>
          <w:r>
            <w:rPr/>
            <w:fldChar w:fldCharType="separate"/>
          </w:r>
          <w:r>
            <w:rPr/>
            <w:t>37</w:t>
          </w:r>
          <w:r>
            <w:rPr/>
            <w:fldChar w:fldCharType="end"/>
          </w:r>
        </w:p>
      </w:tc>
    </w:tr>
  </w:tbl>
  <w:p>
    <w:pPr>
      <w:pStyle w:val="ConsPlusNormal"/>
      <w:rPr/>
    </w:pPr>
    <w:r>
      <w:rPr>
        <w:sz w:val="2"/>
        <w:szCs w:val="2"/>
      </w:rPr>
      <w:t>1</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w:t>
          </w:r>
          <w:r>
            <w:rPr/>
            <w:fldChar w:fldCharType="end"/>
          </w:r>
          <w:r>
            <w:rPr>
              <w:rFonts w:cs="Tahoma" w:ascii="Tahoma" w:hAnsi="Tahoma"/>
            </w:rPr>
            <w:t xml:space="preserve"> из </w:t>
          </w:r>
          <w:r>
            <w:rPr/>
            <w:fldChar w:fldCharType="begin"/>
          </w:r>
          <w:r>
            <w:rPr/>
            <w:instrText xml:space="preserve"> NUMPAGES </w:instrText>
          </w:r>
          <w:r>
            <w:rPr/>
            <w:fldChar w:fldCharType="separate"/>
          </w:r>
          <w:r>
            <w:rPr/>
            <w:t>37</w:t>
          </w:r>
          <w:r>
            <w:rPr/>
            <w:fldChar w:fldCharType="end"/>
          </w:r>
        </w:p>
      </w:tc>
    </w:tr>
  </w:tbl>
  <w:p>
    <w:pPr>
      <w:pStyle w:val="ConsPlusNormal"/>
      <w:rPr/>
    </w:pPr>
    <w:r>
      <w:rPr>
        <w:sz w:val="2"/>
        <w:szCs w:val="2"/>
      </w:rPr>
      <w:t>1</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37</w:t>
          </w:r>
          <w:r>
            <w:rPr/>
            <w:fldChar w:fldCharType="end"/>
          </w:r>
        </w:p>
      </w:tc>
    </w:tr>
  </w:tbl>
  <w:p>
    <w:pPr>
      <w:pStyle w:val="ConsPlusNormal"/>
      <w:rPr/>
    </w:pPr>
    <w:r>
      <w:rPr>
        <w:sz w:val="2"/>
        <w:szCs w:val="2"/>
      </w:rPr>
      <w:t>1</w: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27</w:t>
          </w:r>
          <w:r>
            <w:rPr/>
            <w:fldChar w:fldCharType="end"/>
          </w:r>
          <w:r>
            <w:rPr>
              <w:rFonts w:cs="Tahoma" w:ascii="Tahoma" w:hAnsi="Tahoma"/>
            </w:rPr>
            <w:t xml:space="preserve"> из </w:t>
          </w:r>
          <w:r>
            <w:rPr/>
            <w:fldChar w:fldCharType="begin"/>
          </w:r>
          <w:r>
            <w:rPr/>
            <w:instrText xml:space="preserve"> NUMPAGES </w:instrText>
          </w:r>
          <w:r>
            <w:rPr/>
            <w:fldChar w:fldCharType="separate"/>
          </w:r>
          <w:r>
            <w:rPr/>
            <w:t>37</w:t>
          </w:r>
          <w:r>
            <w:rPr/>
            <w:fldChar w:fldCharType="end"/>
          </w:r>
        </w:p>
      </w:tc>
    </w:tr>
  </w:tbl>
  <w:p>
    <w:pPr>
      <w:pStyle w:val="ConsPlusNormal"/>
      <w:rPr/>
    </w:pPr>
    <w:r>
      <w:rPr>
        <w:sz w:val="2"/>
        <w:szCs w:val="2"/>
      </w:rPr>
      <w:t>1</w: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4652"/>
      <w:gridCol w:w="4653"/>
      <w:gridCol w:w="4653"/>
    </w:tblGrid>
    <w:tr>
      <w:trPr>
        <w:trHeight w:val="1170" w:hRule="exact"/>
      </w:trPr>
      <w:tc>
        <w:tcPr>
          <w:tcW w:w="465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4653"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465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21</w:t>
          </w:r>
          <w:r>
            <w:rPr/>
            <w:fldChar w:fldCharType="end"/>
          </w:r>
          <w:r>
            <w:rPr>
              <w:rFonts w:cs="Tahoma" w:ascii="Tahoma" w:hAnsi="Tahoma"/>
            </w:rPr>
            <w:t xml:space="preserve"> из </w:t>
          </w:r>
          <w:r>
            <w:rPr/>
            <w:fldChar w:fldCharType="begin"/>
          </w:r>
          <w:r>
            <w:rPr/>
            <w:instrText xml:space="preserve"> NUMPAGES </w:instrText>
          </w:r>
          <w:r>
            <w:rPr/>
            <w:fldChar w:fldCharType="separate"/>
          </w:r>
          <w:r>
            <w:rPr/>
            <w:t>37</w:t>
          </w:r>
          <w:r>
            <w:rPr/>
            <w:fldChar w:fldCharType="end"/>
          </w:r>
        </w:p>
      </w:tc>
    </w:tr>
  </w:tbl>
  <w:p>
    <w:pPr>
      <w:pStyle w:val="ConsPlusNormal"/>
      <w:rPr/>
    </w:pPr>
    <w:r>
      <w:rPr>
        <w:sz w:val="2"/>
        <w:szCs w:val="2"/>
      </w:rPr>
      <w:t>1</w: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170"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37</w:t>
          </w:r>
          <w:r>
            <w:rPr/>
            <w:fldChar w:fldCharType="end"/>
          </w:r>
        </w:p>
      </w:tc>
    </w:tr>
  </w:tbl>
  <w:p>
    <w:pPr>
      <w:pStyle w:val="ConsPlusNormal"/>
      <w:rPr/>
    </w:pPr>
    <w:r>
      <w:rPr>
        <w:sz w:val="2"/>
        <w:szCs w:val="2"/>
      </w:rPr>
      <w:t>1</w: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5348"/>
      <w:gridCol w:w="5348"/>
      <w:gridCol w:w="5348"/>
    </w:tblGrid>
    <w:tr>
      <w:trPr>
        <w:trHeight w:val="1170" w:hRule="exact"/>
      </w:trPr>
      <w:tc>
        <w:tcPr>
          <w:tcW w:w="5348"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5348"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5348"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34</w:t>
          </w:r>
          <w:r>
            <w:rPr/>
            <w:fldChar w:fldCharType="end"/>
          </w:r>
          <w:r>
            <w:rPr>
              <w:rFonts w:cs="Tahoma" w:ascii="Tahoma" w:hAnsi="Tahoma"/>
            </w:rPr>
            <w:t xml:space="preserve"> из </w:t>
          </w:r>
          <w:r>
            <w:rPr/>
            <w:fldChar w:fldCharType="begin"/>
          </w:r>
          <w:r>
            <w:rPr/>
            <w:instrText xml:space="preserve"> NUMPAGES </w:instrText>
          </w:r>
          <w:r>
            <w:rPr/>
            <w:fldChar w:fldCharType="separate"/>
          </w:r>
          <w:r>
            <w:rPr/>
            <w:t>37</w:t>
          </w:r>
          <w:r>
            <w:rPr/>
            <w:fldChar w:fldCharType="end"/>
          </w:r>
        </w:p>
      </w:tc>
    </w:tr>
  </w:tbl>
  <w:p>
    <w:pPr>
      <w:pStyle w:val="ConsPlusNormal"/>
      <w:rPr/>
    </w:pPr>
    <w:r>
      <w:rPr>
        <w:sz w:val="2"/>
        <w:szCs w:val="2"/>
      </w:rPr>
      <w:t>1</w: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5348"/>
      <w:gridCol w:w="5348"/>
      <w:gridCol w:w="5348"/>
    </w:tblGrid>
    <w:tr>
      <w:trPr>
        <w:trHeight w:val="1170" w:hRule="exact"/>
      </w:trPr>
      <w:tc>
        <w:tcPr>
          <w:tcW w:w="5348"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5348"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5348"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28</w:t>
          </w:r>
          <w:r>
            <w:rPr/>
            <w:fldChar w:fldCharType="end"/>
          </w:r>
          <w:r>
            <w:rPr>
              <w:rFonts w:cs="Tahoma" w:ascii="Tahoma" w:hAnsi="Tahoma"/>
            </w:rPr>
            <w:t xml:space="preserve"> из </w:t>
          </w:r>
          <w:r>
            <w:rPr/>
            <w:fldChar w:fldCharType="begin"/>
          </w:r>
          <w:r>
            <w:rPr/>
            <w:instrText xml:space="preserve"> NUMPAGES </w:instrText>
          </w:r>
          <w:r>
            <w:rPr/>
            <w:fldChar w:fldCharType="separate"/>
          </w:r>
          <w:r>
            <w:rPr/>
            <w:t>37</w:t>
          </w:r>
          <w:r>
            <w:rPr/>
            <w:fldChar w:fldCharType="end"/>
          </w:r>
        </w:p>
      </w:tc>
    </w:tr>
  </w:tbl>
  <w:p>
    <w:pPr>
      <w:pStyle w:val="ConsPlusNormal"/>
      <w:rPr/>
    </w:pPr>
    <w:r>
      <w:rPr>
        <w:sz w:val="2"/>
        <w:szCs w:val="2"/>
      </w:rPr>
      <w:t>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8021"/>
      <w:gridCol w:w="8022"/>
    </w:tblGrid>
    <w:tr>
      <w:trPr>
        <w:trHeight w:val="1190" w:hRule="exact"/>
      </w:trPr>
      <w:tc>
        <w:tcPr>
          <w:tcW w:w="8021" w:type="dxa"/>
          <w:tcBorders/>
          <w:vAlign w:val="center"/>
        </w:tcPr>
        <w:p>
          <w:pPr>
            <w:pStyle w:val="ConsPlusNormal"/>
            <w:rPr>
              <w:rFonts w:ascii="Tahoma" w:hAnsi="Tahoma" w:cs="Tahoma"/>
            </w:rPr>
          </w:pPr>
          <w:r>
            <w:rPr>
              <w:rFonts w:cs="Tahoma" w:ascii="Tahoma" w:hAnsi="Tahoma"/>
              <w:sz w:val="16"/>
              <w:szCs w:val="16"/>
            </w:rPr>
            <w:t>Приказ Росгвардии от 23.04.2021 N 142</w:t>
            <w:br/>
            <w:t>"О прохождении медицинских осмотров и диспансеризации военнослужащими войск национ...</w:t>
          </w:r>
        </w:p>
      </w:tc>
      <w:tc>
        <w:tcPr>
          <w:tcW w:w="8022"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8021"/>
      <w:gridCol w:w="8022"/>
    </w:tblGrid>
    <w:tr>
      <w:trPr>
        <w:trHeight w:val="1190" w:hRule="exact"/>
      </w:trPr>
      <w:tc>
        <w:tcPr>
          <w:tcW w:w="8021" w:type="dxa"/>
          <w:tcBorders/>
          <w:vAlign w:val="center"/>
        </w:tcPr>
        <w:p>
          <w:pPr>
            <w:pStyle w:val="ConsPlusNormal"/>
            <w:rPr>
              <w:rFonts w:ascii="Tahoma" w:hAnsi="Tahoma" w:cs="Tahoma"/>
            </w:rPr>
          </w:pPr>
          <w:r>
            <w:rPr>
              <w:rFonts w:cs="Tahoma" w:ascii="Tahoma" w:hAnsi="Tahoma"/>
              <w:sz w:val="16"/>
              <w:szCs w:val="16"/>
            </w:rPr>
            <w:t>Приказ Росгвардии от 23.04.2021 N 142</w:t>
            <w:br/>
            <w:t>"О прохождении медицинских осмотров и диспансеризации военнослужащими войск национ...</w:t>
          </w:r>
        </w:p>
      </w:tc>
      <w:tc>
        <w:tcPr>
          <w:tcW w:w="8022"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Приказ Росгвардии от 23.04.2021 N 142</w:t>
            <w:br/>
            <w:t>"О прохождении медицинских осмотров и диспансеризации военнослужащими войск национ...</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Приказ Росгвардии от 23.04.2021 N 142</w:t>
            <w:br/>
            <w:t>"О прохождении медицинских осмотров и диспансеризации военнослужащими войск национ...</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Приказ Росгвардии от 23.04.2021 N 142</w:t>
            <w:br/>
            <w:t>"О прохождении медицинских осмотров и диспансеризации военнослужащими войск национ...</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6978"/>
      <w:gridCol w:w="6979"/>
    </w:tblGrid>
    <w:tr>
      <w:trPr>
        <w:trHeight w:val="1190" w:hRule="exact"/>
      </w:trPr>
      <w:tc>
        <w:tcPr>
          <w:tcW w:w="6978" w:type="dxa"/>
          <w:tcBorders/>
          <w:vAlign w:val="center"/>
        </w:tcPr>
        <w:p>
          <w:pPr>
            <w:pStyle w:val="ConsPlusNormal"/>
            <w:rPr>
              <w:rFonts w:ascii="Tahoma" w:hAnsi="Tahoma" w:cs="Tahoma"/>
            </w:rPr>
          </w:pPr>
          <w:r>
            <w:rPr>
              <w:rFonts w:cs="Tahoma" w:ascii="Tahoma" w:hAnsi="Tahoma"/>
              <w:sz w:val="16"/>
              <w:szCs w:val="16"/>
            </w:rPr>
            <w:t>Приказ Росгвардии от 23.04.2021 N 142</w:t>
            <w:br/>
            <w:t>"О прохождении медицинских осмотров и диспансеризации военнослужащими войск национ...</w:t>
          </w:r>
        </w:p>
      </w:tc>
      <w:tc>
        <w:tcPr>
          <w:tcW w:w="6979"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8021"/>
      <w:gridCol w:w="8022"/>
    </w:tblGrid>
    <w:tr>
      <w:trPr>
        <w:trHeight w:val="1190" w:hRule="exact"/>
      </w:trPr>
      <w:tc>
        <w:tcPr>
          <w:tcW w:w="8021" w:type="dxa"/>
          <w:tcBorders/>
          <w:vAlign w:val="center"/>
        </w:tcPr>
        <w:p>
          <w:pPr>
            <w:pStyle w:val="ConsPlusNormal"/>
            <w:rPr>
              <w:rFonts w:ascii="Tahoma" w:hAnsi="Tahoma" w:cs="Tahoma"/>
            </w:rPr>
          </w:pPr>
          <w:r>
            <w:rPr>
              <w:rFonts w:cs="Tahoma" w:ascii="Tahoma" w:hAnsi="Tahoma"/>
              <w:sz w:val="16"/>
              <w:szCs w:val="16"/>
            </w:rPr>
            <w:t>Приказ Росгвардии от 23.04.2021 N 142</w:t>
            <w:br/>
            <w:t>"О прохождении медицинских осмотров и диспансеризации военнослужащими войск национ...</w:t>
          </w:r>
        </w:p>
      </w:tc>
      <w:tc>
        <w:tcPr>
          <w:tcW w:w="8022"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8021"/>
      <w:gridCol w:w="8022"/>
    </w:tblGrid>
    <w:tr>
      <w:trPr>
        <w:trHeight w:val="1190" w:hRule="exact"/>
      </w:trPr>
      <w:tc>
        <w:tcPr>
          <w:tcW w:w="8021" w:type="dxa"/>
          <w:tcBorders/>
          <w:vAlign w:val="center"/>
        </w:tcPr>
        <w:p>
          <w:pPr>
            <w:pStyle w:val="ConsPlusNormal"/>
            <w:rPr>
              <w:rFonts w:ascii="Tahoma" w:hAnsi="Tahoma" w:cs="Tahoma"/>
            </w:rPr>
          </w:pPr>
          <w:r>
            <w:rPr>
              <w:rFonts w:cs="Tahoma" w:ascii="Tahoma" w:hAnsi="Tahoma"/>
              <w:sz w:val="16"/>
              <w:szCs w:val="16"/>
            </w:rPr>
            <w:t>Приказ Росгвардии от 23.04.2021 N 142</w:t>
            <w:br/>
            <w:t>"О прохождении медицинских осмотров и диспансеризации военнослужащими войск национ...</w:t>
          </w:r>
        </w:p>
      </w:tc>
      <w:tc>
        <w:tcPr>
          <w:tcW w:w="8022"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FreeSans"/>
        <w:lang w:val="ru-RU" w:eastAsia="ru-RU" w:bidi="ar-SA"/>
      </w:rPr>
    </w:rPrDefault>
    <w:pPrDefault>
      <w:pPr>
        <w:suppressAutoHyphens w:val="true"/>
      </w:pPr>
    </w:pPrDefault>
  </w:docDefaults>
  <w:style w:type="paragraph" w:styleId="Normal">
    <w:name w:val="Normal"/>
    <w:qFormat/>
    <w:pPr>
      <w:widowControl/>
      <w:bidi w:val="0"/>
      <w:spacing w:lineRule="auto" w:line="240" w:before="0" w:after="0"/>
      <w:jc w:val="left"/>
    </w:pPr>
    <w:rPr>
      <w:rFonts w:ascii="Times New Roman" w:hAnsi="Times New Roman" w:eastAsia="Noto Serif CJK SC" w:cs="FreeSans"/>
      <w:color w:val="auto"/>
      <w:kern w:val="0"/>
      <w:sz w:val="20"/>
      <w:szCs w:val="20"/>
      <w:lang w:val="ru-RU" w:eastAsia="ru-RU" w:bidi="ar-SA"/>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5">
    <w:name w:val="Указатель"/>
    <w:basedOn w:val="Normal"/>
    <w:qFormat/>
    <w:pPr>
      <w:suppressLineNumbers/>
    </w:pPr>
    <w:rPr>
      <w:rFonts w:ascii="PT Astra Serif" w:hAnsi="PT Astra Serif" w:cs="FreeSans"/>
    </w:rPr>
  </w:style>
  <w:style w:type="paragraph" w:styleId="ConsPlusNormal" w:default="1" w:customStyle="1">
    <w:name w:val="ConsPlusNormal"/>
    <w:qFormat/>
    <w:pPr>
      <w:widowControl w:val="false"/>
      <w:bidi w:val="0"/>
      <w:spacing w:lineRule="auto" w:line="240" w:before="0" w:after="0"/>
      <w:jc w:val="left"/>
    </w:pPr>
    <w:rPr>
      <w:rFonts w:ascii="Times New Roman" w:hAnsi="Times New Roman" w:cs="Times New Roman" w:eastAsia="Noto Serif CJK SC"/>
      <w:color w:val="auto"/>
      <w:kern w:val="0"/>
      <w:sz w:val="24"/>
      <w:szCs w:val="20"/>
      <w:lang w:val="ru-RU" w:eastAsia="ru-RU" w:bidi="ar-SA"/>
    </w:rPr>
  </w:style>
  <w:style w:type="paragraph" w:styleId="ConsPlusNonformat" w:customStyle="1">
    <w:name w:val="ConsPlusNonformat"/>
    <w:qFormat/>
    <w:pPr>
      <w:widowControl w:val="false"/>
      <w:bidi w:val="0"/>
      <w:spacing w:lineRule="auto" w:line="240" w:before="0" w:after="0"/>
      <w:jc w:val="left"/>
    </w:pPr>
    <w:rPr>
      <w:rFonts w:ascii="Courier New" w:hAnsi="Courier New" w:cs="Courier New" w:eastAsia="Noto Serif CJK SC"/>
      <w:color w:val="auto"/>
      <w:kern w:val="0"/>
      <w:sz w:val="20"/>
      <w:szCs w:val="20"/>
      <w:lang w:val="ru-RU" w:eastAsia="ru-RU" w:bidi="ar-SA"/>
    </w:rPr>
  </w:style>
  <w:style w:type="paragraph" w:styleId="ConsPlusTitle" w:customStyle="1">
    <w:name w:val="ConsPlusTitle"/>
    <w:qFormat/>
    <w:pPr>
      <w:widowControl w:val="false"/>
      <w:bidi w:val="0"/>
      <w:spacing w:lineRule="auto" w:line="240" w:before="0" w:after="0"/>
      <w:jc w:val="left"/>
    </w:pPr>
    <w:rPr>
      <w:rFonts w:ascii="Arial" w:hAnsi="Arial" w:cs="Arial" w:eastAsia="Noto Serif CJK SC"/>
      <w:b/>
      <w:color w:val="auto"/>
      <w:kern w:val="0"/>
      <w:sz w:val="24"/>
      <w:szCs w:val="20"/>
      <w:lang w:val="ru-RU" w:eastAsia="ru-RU" w:bidi="ar-SA"/>
    </w:rPr>
  </w:style>
  <w:style w:type="paragraph" w:styleId="ConsPlusCell" w:customStyle="1">
    <w:name w:val="ConsPlusCell"/>
    <w:qFormat/>
    <w:pPr>
      <w:widowControl w:val="false"/>
      <w:bidi w:val="0"/>
      <w:spacing w:lineRule="auto" w:line="240" w:before="0" w:after="0"/>
      <w:jc w:val="left"/>
    </w:pPr>
    <w:rPr>
      <w:rFonts w:ascii="Courier New" w:hAnsi="Courier New" w:cs="Courier New" w:eastAsia="Noto Serif CJK SC"/>
      <w:color w:val="auto"/>
      <w:kern w:val="0"/>
      <w:sz w:val="20"/>
      <w:szCs w:val="20"/>
      <w:lang w:val="ru-RU" w:eastAsia="ru-RU" w:bidi="ar-SA"/>
    </w:rPr>
  </w:style>
  <w:style w:type="paragraph" w:styleId="ConsPlusDocList" w:customStyle="1">
    <w:name w:val="ConsPlusDocList"/>
    <w:qFormat/>
    <w:pPr>
      <w:widowControl w:val="false"/>
      <w:bidi w:val="0"/>
      <w:spacing w:lineRule="auto" w:line="240" w:before="0" w:after="0"/>
      <w:jc w:val="left"/>
    </w:pPr>
    <w:rPr>
      <w:rFonts w:ascii="Tahoma" w:hAnsi="Tahoma" w:cs="Tahoma" w:eastAsia="Noto Serif CJK SC"/>
      <w:color w:val="auto"/>
      <w:kern w:val="0"/>
      <w:sz w:val="18"/>
      <w:szCs w:val="20"/>
      <w:lang w:val="ru-RU" w:eastAsia="ru-RU" w:bidi="ar-SA"/>
    </w:rPr>
  </w:style>
  <w:style w:type="paragraph" w:styleId="ConsPlusTitlePage" w:customStyle="1">
    <w:name w:val="ConsPlusTitlePage"/>
    <w:qFormat/>
    <w:pPr>
      <w:widowControl w:val="false"/>
      <w:bidi w:val="0"/>
      <w:spacing w:lineRule="auto" w:line="240" w:before="0" w:after="0"/>
      <w:jc w:val="left"/>
    </w:pPr>
    <w:rPr>
      <w:rFonts w:ascii="Tahoma" w:hAnsi="Tahoma" w:cs="Tahoma" w:eastAsia="Noto Serif CJK SC"/>
      <w:color w:val="auto"/>
      <w:kern w:val="0"/>
      <w:sz w:val="20"/>
      <w:szCs w:val="20"/>
      <w:lang w:val="ru-RU" w:eastAsia="ru-RU" w:bidi="ar-SA"/>
    </w:rPr>
  </w:style>
  <w:style w:type="paragraph" w:styleId="ConsPlusJurTerm" w:customStyle="1">
    <w:name w:val="ConsPlusJurTerm"/>
    <w:qFormat/>
    <w:pPr>
      <w:widowControl w:val="false"/>
      <w:bidi w:val="0"/>
      <w:spacing w:lineRule="auto" w:line="240" w:before="0" w:after="0"/>
      <w:jc w:val="left"/>
    </w:pPr>
    <w:rPr>
      <w:rFonts w:ascii="Tahoma" w:hAnsi="Tahoma" w:cs="Tahoma" w:eastAsia="Noto Serif CJK SC"/>
      <w:color w:val="auto"/>
      <w:kern w:val="0"/>
      <w:sz w:val="26"/>
      <w:szCs w:val="20"/>
      <w:lang w:val="ru-RU" w:eastAsia="ru-RU" w:bidi="ar-SA"/>
    </w:rPr>
  </w:style>
  <w:style w:type="paragraph" w:styleId="ConsPlusTextList" w:customStyle="1">
    <w:name w:val="ConsPlusTextList"/>
    <w:qFormat/>
    <w:pPr>
      <w:widowControl w:val="false"/>
      <w:bidi w:val="0"/>
      <w:spacing w:lineRule="auto" w:line="240" w:before="0" w:after="0"/>
      <w:jc w:val="left"/>
    </w:pPr>
    <w:rPr>
      <w:rFonts w:ascii="Times New Roman" w:hAnsi="Times New Roman" w:cs="Times New Roman" w:eastAsia="Noto Serif CJK SC"/>
      <w:color w:val="auto"/>
      <w:kern w:val="0"/>
      <w:sz w:val="24"/>
      <w:szCs w:val="20"/>
      <w:lang w:val="ru-RU" w:eastAsia="ru-RU" w:bidi="ar-SA"/>
    </w:rPr>
  </w:style>
  <w:style w:type="paragraph" w:styleId="Style16">
    <w:name w:val="Колонтитул"/>
    <w:basedOn w:val="Normal"/>
    <w:qFormat/>
    <w:pPr/>
    <w:rPr/>
  </w:style>
  <w:style w:type="paragraph" w:styleId="Header">
    <w:name w:val="Header"/>
    <w:basedOn w:val="Style16"/>
    <w:pPr/>
    <w:rPr/>
  </w:style>
  <w:style w:type="paragraph" w:styleId="Footer">
    <w:name w:val="Footer"/>
    <w:basedOn w:val="Style16"/>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consultant.ru/" TargetMode="External"/><Relationship Id="rId4" Type="http://schemas.openxmlformats.org/officeDocument/2006/relationships/hyperlink" Target="https://www.consultant.ru/" TargetMode="External"/><Relationship Id="rId5" Type="http://schemas.openxmlformats.org/officeDocument/2006/relationships/hyperlink" Target="../&#1047;&#1072;&#1075;&#1088;&#1091;&#1079;&#1082;&#1080;/&#1091;&#1089;&#1083;&#1086;&#1074;&#1080;&#1103;&#1093;." TargetMode="External"/><Relationship Id="rId6" Type="http://schemas.openxmlformats.org/officeDocument/2006/relationships/hyperlink" Target="../&#1047;&#1072;&#1075;&#1088;&#1091;&#1079;&#1082;&#1080;/&#1091;&#1089;&#1083;&#1086;&#1074;&#1080;&#1103;&#1093;."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header" Target="header5.xml"/><Relationship Id="rId15" Type="http://schemas.openxmlformats.org/officeDocument/2006/relationships/header" Target="header6.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footer" Target="footer6.xml"/><Relationship Id="rId19" Type="http://schemas.openxmlformats.org/officeDocument/2006/relationships/header" Target="header7.xml"/><Relationship Id="rId20" Type="http://schemas.openxmlformats.org/officeDocument/2006/relationships/header" Target="header8.xml"/><Relationship Id="rId21" Type="http://schemas.openxmlformats.org/officeDocument/2006/relationships/header" Target="header9.xml"/><Relationship Id="rId22" Type="http://schemas.openxmlformats.org/officeDocument/2006/relationships/footer" Target="footer7.xml"/><Relationship Id="rId23" Type="http://schemas.openxmlformats.org/officeDocument/2006/relationships/footer" Target="footer8.xml"/><Relationship Id="rId24" Type="http://schemas.openxmlformats.org/officeDocument/2006/relationships/footer" Target="footer9.xml"/><Relationship Id="rId25" Type="http://schemas.openxmlformats.org/officeDocument/2006/relationships/header" Target="header10.xml"/><Relationship Id="rId26" Type="http://schemas.openxmlformats.org/officeDocument/2006/relationships/header" Target="header11.xml"/><Relationship Id="rId27" Type="http://schemas.openxmlformats.org/officeDocument/2006/relationships/header" Target="header12.xml"/><Relationship Id="rId28" Type="http://schemas.openxmlformats.org/officeDocument/2006/relationships/footer" Target="footer10.xml"/><Relationship Id="rId29" Type="http://schemas.openxmlformats.org/officeDocument/2006/relationships/footer" Target="footer11.xml"/><Relationship Id="rId30" Type="http://schemas.openxmlformats.org/officeDocument/2006/relationships/footer" Target="footer12.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0.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1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4.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7.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9.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5.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6.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8.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9.xml.rels><?xml version="1.0" encoding="UTF-8"?>
<Relationships xmlns="http://schemas.openxmlformats.org/package/2006/relationships"><Relationship Id="rId1" Type="http://schemas.openxmlformats.org/officeDocument/2006/relationships/hyperlink" Target="https://www.consultant.ru/" TargetMode="Externa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LibreOffice/24.2.3.2$Linux_X86_64 LibreOffice_project/420$Build-2</Application>
  <AppVersion>15.0000</AppVersion>
  <Pages>37</Pages>
  <Words>8802</Words>
  <Characters>58044</Characters>
  <CharactersWithSpaces>64904</CharactersWithSpaces>
  <Paragraphs>1947</Paragraphs>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2026-07-20T09:07:41Z</dcterms:created>
  <dc:creator/>
  <dc:description/>
  <dc:language>ru-RU</dc:language>
  <cp:lastModifiedBy/>
  <cp:revision>0</cp:revision>
  <dc:subject/>
  <dc:title>Приказ Росгвардии от 23.04.2021 N 142
"О прохождении медицинских осмотров и диспансеризации военнослужащими войск национальной гвардии Российской Федерации"
(Зарегистрировано в Минюсте России 02.06.2021 N 63775)</dc:title>
</cp:coreProperties>
</file>

<file path=docProps/custom.xml><?xml version="1.0" encoding="utf-8"?>
<Properties xmlns="http://schemas.openxmlformats.org/officeDocument/2006/custom-properties" xmlns:vt="http://schemas.openxmlformats.org/officeDocument/2006/docPropsVTypes"/>
</file>